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557" w:rsidRPr="00BC020A" w:rsidRDefault="00B94895">
      <w:pPr>
        <w:spacing w:after="0" w:line="259" w:lineRule="auto"/>
        <w:ind w:left="47" w:firstLine="0"/>
        <w:jc w:val="center"/>
        <w:rPr>
          <w:b/>
          <w:sz w:val="24"/>
        </w:rPr>
      </w:pPr>
      <w:r w:rsidRPr="00BC020A">
        <w:rPr>
          <w:b/>
          <w:noProof/>
          <w:sz w:val="24"/>
        </w:rPr>
        <w:drawing>
          <wp:anchor distT="0" distB="0" distL="114300" distR="114300" simplePos="0" relativeHeight="251658240" behindDoc="0" locked="0" layoutInCell="1" allowOverlap="0">
            <wp:simplePos x="0" y="0"/>
            <wp:positionH relativeFrom="column">
              <wp:posOffset>30012</wp:posOffset>
            </wp:positionH>
            <wp:positionV relativeFrom="paragraph">
              <wp:posOffset>-57613</wp:posOffset>
            </wp:positionV>
            <wp:extent cx="973071" cy="959094"/>
            <wp:effectExtent l="0" t="0" r="0" b="0"/>
            <wp:wrapSquare wrapText="bothSides"/>
            <wp:docPr id="113"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7"/>
                    <a:stretch>
                      <a:fillRect/>
                    </a:stretch>
                  </pic:blipFill>
                  <pic:spPr>
                    <a:xfrm>
                      <a:off x="0" y="0"/>
                      <a:ext cx="973071" cy="959094"/>
                    </a:xfrm>
                    <a:prstGeom prst="rect">
                      <a:avLst/>
                    </a:prstGeom>
                  </pic:spPr>
                </pic:pic>
              </a:graphicData>
            </a:graphic>
          </wp:anchor>
        </w:drawing>
      </w:r>
      <w:r w:rsidR="003A5BD8" w:rsidRPr="00BC020A">
        <w:rPr>
          <w:b/>
          <w:sz w:val="28"/>
        </w:rPr>
        <w:t>DEPARTMENT OF ADMINISTRATIVE SERVICES</w:t>
      </w:r>
      <w:r w:rsidRPr="00BC020A">
        <w:rPr>
          <w:b/>
          <w:sz w:val="28"/>
        </w:rPr>
        <w:t xml:space="preserve"> </w:t>
      </w:r>
      <w:r w:rsidR="003A5BD8" w:rsidRPr="00BC020A">
        <w:rPr>
          <w:b/>
          <w:sz w:val="28"/>
        </w:rPr>
        <w:t>(DAS)</w:t>
      </w:r>
    </w:p>
    <w:p w:rsidR="00601557" w:rsidRDefault="00B94895">
      <w:pPr>
        <w:spacing w:after="164" w:line="259" w:lineRule="auto"/>
        <w:ind w:left="47" w:firstLine="0"/>
        <w:jc w:val="center"/>
      </w:pPr>
      <w:r>
        <w:rPr>
          <w:sz w:val="22"/>
        </w:rPr>
        <w:t>Office of School Construction Grants</w:t>
      </w:r>
      <w:r w:rsidR="003A5BD8">
        <w:rPr>
          <w:sz w:val="22"/>
        </w:rPr>
        <w:t xml:space="preserve"> &amp; Review (OSCG&amp;R)</w:t>
      </w:r>
    </w:p>
    <w:p w:rsidR="00601557" w:rsidRDefault="00B94895">
      <w:pPr>
        <w:spacing w:after="183" w:line="259" w:lineRule="auto"/>
        <w:ind w:left="57"/>
        <w:jc w:val="center"/>
      </w:pPr>
      <w:r w:rsidRPr="00BC020A">
        <w:rPr>
          <w:b/>
          <w:sz w:val="24"/>
        </w:rPr>
        <w:t>BULLETIN</w:t>
      </w:r>
      <w:r>
        <w:rPr>
          <w:b/>
          <w:sz w:val="22"/>
        </w:rPr>
        <w:t xml:space="preserve"> </w:t>
      </w:r>
    </w:p>
    <w:p w:rsidR="00601557" w:rsidRPr="00BC020A" w:rsidRDefault="00B94895">
      <w:pPr>
        <w:spacing w:after="183" w:line="259" w:lineRule="auto"/>
        <w:ind w:left="57"/>
        <w:jc w:val="center"/>
        <w:rPr>
          <w:b/>
          <w:sz w:val="24"/>
        </w:rPr>
      </w:pPr>
      <w:r w:rsidRPr="00BC020A">
        <w:rPr>
          <w:b/>
          <w:sz w:val="24"/>
        </w:rPr>
        <w:t>EYEWASH</w:t>
      </w:r>
      <w:r w:rsidR="003A5BD8" w:rsidRPr="00BC020A">
        <w:rPr>
          <w:b/>
          <w:sz w:val="24"/>
        </w:rPr>
        <w:t xml:space="preserve"> </w:t>
      </w:r>
      <w:r w:rsidRPr="00BC020A">
        <w:rPr>
          <w:b/>
          <w:sz w:val="24"/>
        </w:rPr>
        <w:t>/</w:t>
      </w:r>
      <w:r w:rsidR="003A5BD8" w:rsidRPr="00BC020A">
        <w:rPr>
          <w:b/>
          <w:sz w:val="24"/>
        </w:rPr>
        <w:t xml:space="preserve"> </w:t>
      </w:r>
      <w:r w:rsidRPr="00BC020A">
        <w:rPr>
          <w:b/>
          <w:sz w:val="24"/>
        </w:rPr>
        <w:t xml:space="preserve">DRENCH SHOWER FACILITIES </w:t>
      </w:r>
    </w:p>
    <w:p w:rsidR="003A5BD8" w:rsidRPr="00BC020A" w:rsidRDefault="003A5BD8" w:rsidP="00641607">
      <w:pPr>
        <w:spacing w:after="360" w:line="259" w:lineRule="auto"/>
        <w:ind w:left="57" w:hanging="14"/>
        <w:jc w:val="center"/>
        <w:rPr>
          <w:sz w:val="26"/>
          <w:szCs w:val="26"/>
        </w:rPr>
      </w:pPr>
      <w:r w:rsidRPr="00BC020A">
        <w:rPr>
          <w:b/>
          <w:sz w:val="24"/>
        </w:rPr>
        <w:t xml:space="preserve">                            </w:t>
      </w:r>
      <w:r w:rsidRPr="00BC020A">
        <w:rPr>
          <w:b/>
          <w:sz w:val="26"/>
          <w:szCs w:val="26"/>
        </w:rPr>
        <w:t>FORM SCG-3044</w:t>
      </w:r>
    </w:p>
    <w:p w:rsidR="00601557" w:rsidRPr="003A5BD8" w:rsidRDefault="00B94895" w:rsidP="003A5BD8">
      <w:pPr>
        <w:spacing w:after="162"/>
        <w:jc w:val="both"/>
        <w:rPr>
          <w:sz w:val="18"/>
        </w:rPr>
      </w:pPr>
      <w:r w:rsidRPr="003A5BD8">
        <w:rPr>
          <w:sz w:val="18"/>
        </w:rPr>
        <w:t xml:space="preserve">Eyewash/drench showers have two specific standards – safety and accessibility.  The basic requirements for these units are derived from the OSHA Standards for safety.  Because these units are provided in conjunction with a (school) program, they shall be made accessible and useable by persons with disabilities. </w:t>
      </w:r>
    </w:p>
    <w:p w:rsidR="00601557" w:rsidRPr="003A5BD8" w:rsidRDefault="00B94895" w:rsidP="003A5BD8">
      <w:pPr>
        <w:spacing w:after="222"/>
        <w:jc w:val="both"/>
        <w:rPr>
          <w:sz w:val="18"/>
        </w:rPr>
      </w:pPr>
      <w:r w:rsidRPr="003A5BD8">
        <w:rPr>
          <w:sz w:val="18"/>
        </w:rPr>
        <w:t xml:space="preserve">Eyewash facilities are typically required in Science Lab or Shops/Finish areas as part of a school construction project. There are other areas that may require eyewash facilities due to the handling of potentially injurious materials, including but not limited to: science prep rooms, art studios, graphic arts with darkrooms, shops, janitor’s areas and boiler rooms (with chemical mixing). The following applies to those areas as well. </w:t>
      </w:r>
    </w:p>
    <w:p w:rsidR="00601557" w:rsidRPr="003A5BD8" w:rsidRDefault="00B94895" w:rsidP="003A5BD8">
      <w:pPr>
        <w:spacing w:after="208" w:line="250" w:lineRule="auto"/>
        <w:ind w:left="9" w:firstLine="0"/>
        <w:jc w:val="both"/>
        <w:rPr>
          <w:sz w:val="18"/>
        </w:rPr>
      </w:pPr>
      <w:r w:rsidRPr="003A5BD8">
        <w:rPr>
          <w:sz w:val="18"/>
        </w:rPr>
        <w:t>The Connecticut Department of Labor h</w:t>
      </w:r>
      <w:bookmarkStart w:id="0" w:name="_GoBack"/>
      <w:bookmarkEnd w:id="0"/>
      <w:r w:rsidRPr="003A5BD8">
        <w:rPr>
          <w:sz w:val="18"/>
        </w:rPr>
        <w:t xml:space="preserve">ave advised us of the applicable OSHA standards and interpretations, and provided the following as a guide for purposes of school construction projects: </w:t>
      </w:r>
    </w:p>
    <w:p w:rsidR="00601557" w:rsidRPr="003A5BD8" w:rsidRDefault="00B94895">
      <w:pPr>
        <w:spacing w:after="146" w:line="255" w:lineRule="auto"/>
        <w:ind w:left="14"/>
        <w:rPr>
          <w:sz w:val="18"/>
        </w:rPr>
      </w:pPr>
      <w:r w:rsidRPr="003A5BD8">
        <w:rPr>
          <w:b/>
          <w:sz w:val="18"/>
        </w:rPr>
        <w:t xml:space="preserve">Medical services and first aid - Section 1910.151 </w:t>
      </w:r>
    </w:p>
    <w:p w:rsidR="00601557" w:rsidRPr="003A5BD8" w:rsidRDefault="00B94895" w:rsidP="00641607">
      <w:pPr>
        <w:numPr>
          <w:ilvl w:val="0"/>
          <w:numId w:val="1"/>
        </w:numPr>
        <w:ind w:left="450" w:right="954" w:hanging="349"/>
        <w:jc w:val="both"/>
        <w:rPr>
          <w:sz w:val="18"/>
        </w:rPr>
      </w:pPr>
      <w:r w:rsidRPr="003A5BD8">
        <w:rPr>
          <w:sz w:val="18"/>
        </w:rPr>
        <w:t xml:space="preserve">Employer shall ensure the ready availability of medical personnel. In the absence of an infirmary, provide trained staff to render first aid.  Adequate first aid supplies shall be readily available. </w:t>
      </w:r>
    </w:p>
    <w:p w:rsidR="00601557" w:rsidRPr="003A5BD8" w:rsidRDefault="00B94895" w:rsidP="00641607">
      <w:pPr>
        <w:numPr>
          <w:ilvl w:val="0"/>
          <w:numId w:val="1"/>
        </w:numPr>
        <w:ind w:left="450" w:right="954" w:hanging="349"/>
        <w:jc w:val="both"/>
        <w:rPr>
          <w:sz w:val="18"/>
        </w:rPr>
      </w:pPr>
      <w:r w:rsidRPr="003A5BD8">
        <w:rPr>
          <w:sz w:val="18"/>
        </w:rPr>
        <w:t xml:space="preserve">Where eyes or body may be exposed to injurious corrosive materials, suitable facilities for quick drenching or flushing of the eyes and body shall be provided within the work area. </w:t>
      </w:r>
    </w:p>
    <w:p w:rsidR="00601557" w:rsidRPr="003A5BD8" w:rsidRDefault="00B94895" w:rsidP="00641607">
      <w:pPr>
        <w:numPr>
          <w:ilvl w:val="0"/>
          <w:numId w:val="1"/>
        </w:numPr>
        <w:spacing w:after="94"/>
        <w:ind w:left="450" w:right="954" w:hanging="349"/>
        <w:jc w:val="both"/>
        <w:rPr>
          <w:sz w:val="18"/>
        </w:rPr>
      </w:pPr>
      <w:r w:rsidRPr="003A5BD8">
        <w:rPr>
          <w:sz w:val="18"/>
        </w:rPr>
        <w:t xml:space="preserve">OSHA recognizes and relies on the consensus standard ANSI Standard Z358.1 which provides detailed information regarding the installation and operation of emergency eyewash and shower equipment. </w:t>
      </w:r>
    </w:p>
    <w:p w:rsidR="00601557" w:rsidRPr="003A5BD8" w:rsidRDefault="00B94895" w:rsidP="00BC020A">
      <w:pPr>
        <w:pStyle w:val="ListParagraph"/>
        <w:numPr>
          <w:ilvl w:val="0"/>
          <w:numId w:val="2"/>
        </w:numPr>
        <w:tabs>
          <w:tab w:val="left" w:pos="1080"/>
        </w:tabs>
        <w:spacing w:before="20" w:after="40" w:line="259" w:lineRule="auto"/>
        <w:ind w:left="460" w:right="950" w:hanging="14"/>
        <w:contextualSpacing w:val="0"/>
        <w:jc w:val="both"/>
        <w:rPr>
          <w:sz w:val="18"/>
        </w:rPr>
      </w:pPr>
      <w:r w:rsidRPr="003A5BD8">
        <w:rPr>
          <w:sz w:val="18"/>
        </w:rPr>
        <w:t>Both eye wash and drench shower are required (pop-down units not acceptable</w:t>
      </w:r>
      <w:r w:rsidR="003A5BD8">
        <w:rPr>
          <w:sz w:val="18"/>
        </w:rPr>
        <w:t>)</w:t>
      </w:r>
    </w:p>
    <w:p w:rsidR="00601557" w:rsidRPr="003A5BD8" w:rsidRDefault="00B94895" w:rsidP="00BC020A">
      <w:pPr>
        <w:pStyle w:val="ListParagraph"/>
        <w:numPr>
          <w:ilvl w:val="0"/>
          <w:numId w:val="2"/>
        </w:numPr>
        <w:tabs>
          <w:tab w:val="left" w:pos="1080"/>
        </w:tabs>
        <w:spacing w:before="20" w:after="40" w:line="259" w:lineRule="auto"/>
        <w:ind w:left="460" w:right="950" w:hanging="14"/>
        <w:contextualSpacing w:val="0"/>
        <w:jc w:val="both"/>
        <w:rPr>
          <w:sz w:val="18"/>
        </w:rPr>
      </w:pPr>
      <w:r w:rsidRPr="003A5BD8">
        <w:rPr>
          <w:sz w:val="18"/>
        </w:rPr>
        <w:t>Maximum travel from hazard to eyewash facilities - no more tha</w:t>
      </w:r>
      <w:r w:rsidR="003A5BD8">
        <w:rPr>
          <w:sz w:val="18"/>
        </w:rPr>
        <w:t>n 10 seconds to reach (75 feet)</w:t>
      </w:r>
    </w:p>
    <w:p w:rsidR="00601557" w:rsidRPr="003A5BD8" w:rsidRDefault="00B94895" w:rsidP="00BC020A">
      <w:pPr>
        <w:pStyle w:val="ListParagraph"/>
        <w:numPr>
          <w:ilvl w:val="0"/>
          <w:numId w:val="2"/>
        </w:numPr>
        <w:tabs>
          <w:tab w:val="left" w:pos="1080"/>
        </w:tabs>
        <w:spacing w:before="20" w:after="40" w:line="259" w:lineRule="auto"/>
        <w:ind w:left="460" w:right="864" w:hanging="14"/>
        <w:contextualSpacing w:val="0"/>
        <w:jc w:val="both"/>
        <w:rPr>
          <w:sz w:val="18"/>
        </w:rPr>
      </w:pPr>
      <w:r w:rsidRPr="003A5BD8">
        <w:rPr>
          <w:sz w:val="18"/>
        </w:rPr>
        <w:t>Emergency shower heads shall be capable of delivering 20 gpm for a minimum 15 minute period</w:t>
      </w:r>
    </w:p>
    <w:p w:rsidR="00601557" w:rsidRPr="003A5BD8" w:rsidRDefault="00B94895" w:rsidP="00641607">
      <w:pPr>
        <w:pStyle w:val="ListParagraph"/>
        <w:numPr>
          <w:ilvl w:val="0"/>
          <w:numId w:val="2"/>
        </w:numPr>
        <w:tabs>
          <w:tab w:val="left" w:pos="1080"/>
        </w:tabs>
        <w:spacing w:after="220"/>
        <w:ind w:left="450" w:right="954"/>
        <w:jc w:val="both"/>
        <w:rPr>
          <w:sz w:val="18"/>
        </w:rPr>
      </w:pPr>
      <w:r w:rsidRPr="003A5BD8">
        <w:rPr>
          <w:sz w:val="18"/>
        </w:rPr>
        <w:t>Tempered water should be p</w:t>
      </w:r>
      <w:r w:rsidR="003A5BD8">
        <w:rPr>
          <w:sz w:val="18"/>
        </w:rPr>
        <w:t>rovided for suitable protection</w:t>
      </w:r>
    </w:p>
    <w:p w:rsidR="00601557" w:rsidRPr="003A5BD8" w:rsidRDefault="00B94895" w:rsidP="00BC020A">
      <w:pPr>
        <w:spacing w:after="179" w:line="255" w:lineRule="auto"/>
        <w:ind w:left="14" w:right="-36"/>
        <w:rPr>
          <w:sz w:val="18"/>
        </w:rPr>
      </w:pPr>
      <w:r w:rsidRPr="003A5BD8">
        <w:rPr>
          <w:sz w:val="18"/>
        </w:rPr>
        <w:t xml:space="preserve">It was further recommended that </w:t>
      </w:r>
      <w:r w:rsidRPr="00641607">
        <w:rPr>
          <w:sz w:val="18"/>
        </w:rPr>
        <w:t>Chemical Hygiene in Laboratories (Non-Mandatory)</w:t>
      </w:r>
      <w:r w:rsidRPr="003A5BD8">
        <w:rPr>
          <w:b/>
          <w:sz w:val="18"/>
        </w:rPr>
        <w:t xml:space="preserve"> Section 1910.1450, Appendices </w:t>
      </w:r>
      <w:r w:rsidR="00641607">
        <w:rPr>
          <w:b/>
          <w:sz w:val="18"/>
        </w:rPr>
        <w:t>A</w:t>
      </w:r>
      <w:r w:rsidRPr="003A5BD8">
        <w:rPr>
          <w:b/>
          <w:sz w:val="18"/>
        </w:rPr>
        <w:t xml:space="preserve"> &amp; B</w:t>
      </w:r>
      <w:r w:rsidRPr="003A5BD8">
        <w:rPr>
          <w:sz w:val="18"/>
        </w:rPr>
        <w:t xml:space="preserve"> be used as a guide for </w:t>
      </w:r>
      <w:r w:rsidRPr="003A5BD8">
        <w:rPr>
          <w:b/>
          <w:sz w:val="18"/>
        </w:rPr>
        <w:t>“Prudent Practices”.</w:t>
      </w:r>
      <w:r w:rsidRPr="003A5BD8">
        <w:rPr>
          <w:sz w:val="18"/>
        </w:rPr>
        <w:t xml:space="preserve"> </w:t>
      </w:r>
    </w:p>
    <w:p w:rsidR="00601557" w:rsidRDefault="00B94895" w:rsidP="00641607">
      <w:pPr>
        <w:ind w:left="30" w:right="54"/>
        <w:rPr>
          <w:sz w:val="18"/>
        </w:rPr>
      </w:pPr>
      <w:r w:rsidRPr="003A5BD8">
        <w:rPr>
          <w:b/>
          <w:sz w:val="18"/>
        </w:rPr>
        <w:t>NIOSH Pocket Guide to Chemical Hazards</w:t>
      </w:r>
      <w:r w:rsidRPr="003A5BD8">
        <w:rPr>
          <w:sz w:val="18"/>
        </w:rPr>
        <w:t xml:space="preserve"> and the MSDS (Material Safety Data Sheets) are recommended tools for determining program related hazards.  (National Institute for Occupational Safety &amp; Health/CDC) </w:t>
      </w:r>
    </w:p>
    <w:p w:rsidR="003A5BD8" w:rsidRPr="003A5BD8" w:rsidRDefault="003A5BD8" w:rsidP="003A5BD8">
      <w:pPr>
        <w:ind w:left="30"/>
        <w:rPr>
          <w:sz w:val="10"/>
        </w:rPr>
      </w:pPr>
    </w:p>
    <w:p w:rsidR="00601557" w:rsidRPr="003A5BD8" w:rsidRDefault="00B94895" w:rsidP="00641607">
      <w:pPr>
        <w:spacing w:after="146" w:line="255" w:lineRule="auto"/>
        <w:ind w:left="14"/>
        <w:jc w:val="both"/>
        <w:rPr>
          <w:sz w:val="18"/>
        </w:rPr>
      </w:pPr>
      <w:r w:rsidRPr="003A5BD8">
        <w:rPr>
          <w:sz w:val="18"/>
        </w:rPr>
        <w:t xml:space="preserve">The </w:t>
      </w:r>
      <w:r w:rsidRPr="003A5BD8">
        <w:rPr>
          <w:b/>
          <w:sz w:val="18"/>
        </w:rPr>
        <w:t>general duty clause of the Occupational Safety and Health Act of 1970</w:t>
      </w:r>
      <w:r w:rsidRPr="003A5BD8">
        <w:rPr>
          <w:sz w:val="18"/>
        </w:rPr>
        <w:t xml:space="preserve"> may be applicable.  Section 5(a)(1) states, </w:t>
      </w:r>
      <w:r w:rsidRPr="003A5BD8">
        <w:rPr>
          <w:b/>
          <w:sz w:val="18"/>
        </w:rPr>
        <w:t>“Each employer shall furnish to each of his employees employment and a place of employment which are free from recognized hazards that are causing or likely to cause death or serious physical harm to his employees”.</w:t>
      </w:r>
      <w:r w:rsidRPr="003A5BD8">
        <w:rPr>
          <w:sz w:val="18"/>
        </w:rPr>
        <w:t xml:space="preserve"> </w:t>
      </w:r>
    </w:p>
    <w:p w:rsidR="00601557" w:rsidRPr="003A5BD8" w:rsidRDefault="00B94895">
      <w:pPr>
        <w:spacing w:after="146" w:line="255" w:lineRule="auto"/>
        <w:ind w:left="14"/>
        <w:rPr>
          <w:sz w:val="18"/>
        </w:rPr>
      </w:pPr>
      <w:r w:rsidRPr="003A5BD8">
        <w:rPr>
          <w:b/>
          <w:sz w:val="18"/>
        </w:rPr>
        <w:t xml:space="preserve">General requirements – Section 1910.132 </w:t>
      </w:r>
    </w:p>
    <w:p w:rsidR="00601557" w:rsidRPr="003A5BD8" w:rsidRDefault="00B94895" w:rsidP="00641607">
      <w:pPr>
        <w:pStyle w:val="ListParagraph"/>
        <w:numPr>
          <w:ilvl w:val="0"/>
          <w:numId w:val="5"/>
        </w:numPr>
        <w:ind w:left="450" w:right="954"/>
        <w:jc w:val="both"/>
        <w:rPr>
          <w:sz w:val="18"/>
        </w:rPr>
      </w:pPr>
      <w:r w:rsidRPr="003A5BD8">
        <w:rPr>
          <w:sz w:val="18"/>
        </w:rPr>
        <w:t>Employer has responsibility to assess and certify the workplace to determine hazards.  The specific</w:t>
      </w:r>
    </w:p>
    <w:p w:rsidR="00601557" w:rsidRPr="003A5BD8" w:rsidRDefault="00B94895" w:rsidP="00641607">
      <w:pPr>
        <w:spacing w:after="172" w:line="250" w:lineRule="auto"/>
        <w:ind w:left="450" w:right="954" w:firstLine="0"/>
        <w:jc w:val="both"/>
        <w:rPr>
          <w:sz w:val="18"/>
        </w:rPr>
      </w:pPr>
      <w:r w:rsidRPr="003A5BD8">
        <w:rPr>
          <w:sz w:val="18"/>
        </w:rPr>
        <w:t>“Program” outline along with the MSDS sheets should be prepared as a part of the Hazards Communication Program and submitted to the local authorities having jurisdiction (usually the local fire marshal).  Whenever the program changes, the assessment should be updated to ensure adequate safeguards are available. Hazards are to be determined by the practice/use of the space.</w:t>
      </w:r>
    </w:p>
    <w:p w:rsidR="00601557" w:rsidRPr="003A5BD8" w:rsidRDefault="00B94895" w:rsidP="00641607">
      <w:pPr>
        <w:pStyle w:val="ListParagraph"/>
        <w:numPr>
          <w:ilvl w:val="0"/>
          <w:numId w:val="5"/>
        </w:numPr>
        <w:spacing w:after="174"/>
        <w:ind w:left="450" w:right="954"/>
        <w:rPr>
          <w:sz w:val="18"/>
        </w:rPr>
      </w:pPr>
      <w:r w:rsidRPr="003A5BD8">
        <w:rPr>
          <w:sz w:val="18"/>
        </w:rPr>
        <w:t>Employer has responsibility to ensure the adequacy of protective equipment.</w:t>
      </w:r>
    </w:p>
    <w:p w:rsidR="00601557" w:rsidRPr="003A5BD8" w:rsidRDefault="00B94895" w:rsidP="00641607">
      <w:pPr>
        <w:numPr>
          <w:ilvl w:val="0"/>
          <w:numId w:val="5"/>
        </w:numPr>
        <w:spacing w:after="284"/>
        <w:ind w:left="450" w:right="954"/>
        <w:rPr>
          <w:sz w:val="18"/>
        </w:rPr>
      </w:pPr>
      <w:r w:rsidRPr="003A5BD8">
        <w:rPr>
          <w:sz w:val="18"/>
        </w:rPr>
        <w:t>Employer shall train each employee.</w:t>
      </w:r>
    </w:p>
    <w:p w:rsidR="00641607" w:rsidRPr="00641607" w:rsidRDefault="00B94895" w:rsidP="00641607">
      <w:pPr>
        <w:spacing w:after="79"/>
        <w:ind w:left="48"/>
        <w:rPr>
          <w:color w:val="0563C1" w:themeColor="hyperlink"/>
          <w:sz w:val="18"/>
          <w:u w:val="single" w:color="0000FF"/>
        </w:rPr>
      </w:pPr>
      <w:r w:rsidRPr="003A5BD8">
        <w:rPr>
          <w:sz w:val="18"/>
        </w:rPr>
        <w:t xml:space="preserve">For further information and interpretations go to </w:t>
      </w:r>
      <w:hyperlink r:id="rId8" w:history="1">
        <w:r w:rsidR="003A5BD8" w:rsidRPr="00515824">
          <w:rPr>
            <w:rStyle w:val="Hyperlink"/>
            <w:sz w:val="18"/>
            <w:u w:color="0000FF"/>
          </w:rPr>
          <w:t>www.osha.gov</w:t>
        </w:r>
      </w:hyperlink>
    </w:p>
    <w:sectPr w:rsidR="00641607" w:rsidRPr="00641607" w:rsidSect="00BC020A">
      <w:footerReference w:type="default" r:id="rId9"/>
      <w:pgSz w:w="12240" w:h="15840"/>
      <w:pgMar w:top="900" w:right="1440" w:bottom="1440" w:left="1296"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607" w:rsidRDefault="00641607" w:rsidP="00641607">
      <w:pPr>
        <w:spacing w:after="0" w:line="240" w:lineRule="auto"/>
      </w:pPr>
      <w:r>
        <w:separator/>
      </w:r>
    </w:p>
  </w:endnote>
  <w:endnote w:type="continuationSeparator" w:id="0">
    <w:p w:rsidR="00641607" w:rsidRDefault="00641607" w:rsidP="00641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607" w:rsidRPr="00641607" w:rsidRDefault="00641607" w:rsidP="00641607">
    <w:pPr>
      <w:spacing w:after="0" w:line="259" w:lineRule="auto"/>
      <w:ind w:left="38" w:firstLine="0"/>
      <w:rPr>
        <w:sz w:val="12"/>
      </w:rPr>
    </w:pPr>
    <w:r w:rsidRPr="00641607">
      <w:rPr>
        <w:sz w:val="12"/>
      </w:rPr>
      <w:t>N: We</w:t>
    </w:r>
    <w:r w:rsidR="00BC020A">
      <w:rPr>
        <w:sz w:val="12"/>
      </w:rPr>
      <w:t>bsite migration\Bulletins\</w:t>
    </w:r>
    <w:r w:rsidRPr="00641607">
      <w:rPr>
        <w:sz w:val="12"/>
      </w:rPr>
      <w:t xml:space="preserve">SCG-3044_Eyewash-Drench Shower Facilities </w:t>
    </w:r>
  </w:p>
  <w:p w:rsidR="00641607" w:rsidRPr="00641607" w:rsidRDefault="00641607" w:rsidP="00641607">
    <w:pPr>
      <w:spacing w:after="0" w:line="259" w:lineRule="auto"/>
      <w:ind w:left="38" w:firstLine="0"/>
      <w:rPr>
        <w:sz w:val="12"/>
      </w:rPr>
    </w:pPr>
    <w:r w:rsidRPr="00641607">
      <w:rPr>
        <w:sz w:val="12"/>
      </w:rPr>
      <w:t>FORM SCG-3044 Rev 5/</w:t>
    </w:r>
    <w:r w:rsidR="00BC020A">
      <w:rPr>
        <w:sz w:val="12"/>
      </w:rPr>
      <w:t>29</w:t>
    </w:r>
    <w:r w:rsidRPr="00641607">
      <w:rPr>
        <w:sz w:val="12"/>
      </w:rPr>
      <w:t>/17 KD</w:t>
    </w:r>
  </w:p>
  <w:p w:rsidR="00641607" w:rsidRDefault="00641607">
    <w:pPr>
      <w:pStyle w:val="Footer"/>
    </w:pPr>
  </w:p>
  <w:p w:rsidR="00641607" w:rsidRDefault="00641607">
    <w:pPr>
      <w:pStyle w:val="Footer"/>
    </w:pPr>
  </w:p>
  <w:p w:rsidR="00641607" w:rsidRDefault="00641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607" w:rsidRDefault="00641607" w:rsidP="00641607">
      <w:pPr>
        <w:spacing w:after="0" w:line="240" w:lineRule="auto"/>
      </w:pPr>
      <w:r>
        <w:separator/>
      </w:r>
    </w:p>
  </w:footnote>
  <w:footnote w:type="continuationSeparator" w:id="0">
    <w:p w:rsidR="00641607" w:rsidRDefault="00641607" w:rsidP="006416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10170"/>
    <w:multiLevelType w:val="hybridMultilevel"/>
    <w:tmpl w:val="C786050C"/>
    <w:lvl w:ilvl="0" w:tplc="144E363E">
      <w:start w:val="1"/>
      <w:numFmt w:val="lowerLetter"/>
      <w:lvlText w:val="%1."/>
      <w:lvlJc w:val="left"/>
      <w:pPr>
        <w:ind w:left="727"/>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FA7CEDF2">
      <w:start w:val="1"/>
      <w:numFmt w:val="lowerLetter"/>
      <w:lvlText w:val="%2"/>
      <w:lvlJc w:val="left"/>
      <w:pPr>
        <w:ind w:left="13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AAE28E8">
      <w:start w:val="1"/>
      <w:numFmt w:val="lowerRoman"/>
      <w:lvlText w:val="%3"/>
      <w:lvlJc w:val="left"/>
      <w:pPr>
        <w:ind w:left="209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B282CA2">
      <w:start w:val="1"/>
      <w:numFmt w:val="decimal"/>
      <w:lvlText w:val="%4"/>
      <w:lvlJc w:val="left"/>
      <w:pPr>
        <w:ind w:left="28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D4ED832">
      <w:start w:val="1"/>
      <w:numFmt w:val="lowerLetter"/>
      <w:lvlText w:val="%5"/>
      <w:lvlJc w:val="left"/>
      <w:pPr>
        <w:ind w:left="353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8723658">
      <w:start w:val="1"/>
      <w:numFmt w:val="lowerRoman"/>
      <w:lvlText w:val="%6"/>
      <w:lvlJc w:val="left"/>
      <w:pPr>
        <w:ind w:left="425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61E2DAC">
      <w:start w:val="1"/>
      <w:numFmt w:val="decimal"/>
      <w:lvlText w:val="%7"/>
      <w:lvlJc w:val="left"/>
      <w:pPr>
        <w:ind w:left="49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D1AE45C">
      <w:start w:val="1"/>
      <w:numFmt w:val="lowerLetter"/>
      <w:lvlText w:val="%8"/>
      <w:lvlJc w:val="left"/>
      <w:pPr>
        <w:ind w:left="569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59A2F77E">
      <w:start w:val="1"/>
      <w:numFmt w:val="lowerRoman"/>
      <w:lvlText w:val="%9"/>
      <w:lvlJc w:val="left"/>
      <w:pPr>
        <w:ind w:left="641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AF4347A"/>
    <w:multiLevelType w:val="hybridMultilevel"/>
    <w:tmpl w:val="AA10A060"/>
    <w:lvl w:ilvl="0" w:tplc="1AE055BC">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54C32"/>
    <w:multiLevelType w:val="hybridMultilevel"/>
    <w:tmpl w:val="DDCEB4A8"/>
    <w:lvl w:ilvl="0" w:tplc="13E8FB50">
      <w:start w:val="1"/>
      <w:numFmt w:val="low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C0CBD"/>
    <w:multiLevelType w:val="hybridMultilevel"/>
    <w:tmpl w:val="405C605E"/>
    <w:lvl w:ilvl="0" w:tplc="597E940E">
      <w:start w:val="1"/>
      <w:numFmt w:val="decimal"/>
      <w:lvlText w:val="%1."/>
      <w:lvlJc w:val="left"/>
      <w:pPr>
        <w:ind w:left="689"/>
      </w:pPr>
      <w:rPr>
        <w:rFonts w:ascii="Arial" w:eastAsia="Arial" w:hAnsi="Arial" w:cs="Arial"/>
        <w:b w:val="0"/>
        <w:bCs/>
        <w:i w:val="0"/>
        <w:strike w:val="0"/>
        <w:dstrike w:val="0"/>
        <w:color w:val="000000"/>
        <w:sz w:val="18"/>
        <w:szCs w:val="20"/>
        <w:u w:val="none" w:color="000000"/>
        <w:bdr w:val="none" w:sz="0" w:space="0" w:color="auto"/>
        <w:shd w:val="clear" w:color="auto" w:fill="auto"/>
        <w:vertAlign w:val="baseline"/>
      </w:rPr>
    </w:lvl>
    <w:lvl w:ilvl="1" w:tplc="8AD6DC16">
      <w:start w:val="1"/>
      <w:numFmt w:val="lowerLetter"/>
      <w:lvlText w:val="%2"/>
      <w:lvlJc w:val="left"/>
      <w:pPr>
        <w:ind w:left="14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EA28AA4">
      <w:start w:val="1"/>
      <w:numFmt w:val="lowerRoman"/>
      <w:lvlText w:val="%3"/>
      <w:lvlJc w:val="left"/>
      <w:pPr>
        <w:ind w:left="21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A68B488">
      <w:start w:val="1"/>
      <w:numFmt w:val="decimal"/>
      <w:lvlText w:val="%4"/>
      <w:lvlJc w:val="left"/>
      <w:pPr>
        <w:ind w:left="28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33696A0">
      <w:start w:val="1"/>
      <w:numFmt w:val="lowerLetter"/>
      <w:lvlText w:val="%5"/>
      <w:lvlJc w:val="left"/>
      <w:pPr>
        <w:ind w:left="356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71AB254">
      <w:start w:val="1"/>
      <w:numFmt w:val="lowerRoman"/>
      <w:lvlText w:val="%6"/>
      <w:lvlJc w:val="left"/>
      <w:pPr>
        <w:ind w:left="428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3F0EF48">
      <w:start w:val="1"/>
      <w:numFmt w:val="decimal"/>
      <w:lvlText w:val="%7"/>
      <w:lvlJc w:val="left"/>
      <w:pPr>
        <w:ind w:left="500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F221F1C">
      <w:start w:val="1"/>
      <w:numFmt w:val="lowerLetter"/>
      <w:lvlText w:val="%8"/>
      <w:lvlJc w:val="left"/>
      <w:pPr>
        <w:ind w:left="57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B67AE6A0">
      <w:start w:val="1"/>
      <w:numFmt w:val="lowerRoman"/>
      <w:lvlText w:val="%9"/>
      <w:lvlJc w:val="left"/>
      <w:pPr>
        <w:ind w:left="644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B9D0154"/>
    <w:multiLevelType w:val="hybridMultilevel"/>
    <w:tmpl w:val="1D68A278"/>
    <w:lvl w:ilvl="0" w:tplc="4376922E">
      <w:start w:val="1"/>
      <w:numFmt w:val="lowerLetter"/>
      <w:lvlText w:val="%1)"/>
      <w:lvlJc w:val="left"/>
      <w:pPr>
        <w:ind w:left="684"/>
      </w:pPr>
      <w:rPr>
        <w:rFonts w:ascii="Arial" w:eastAsia="Arial" w:hAnsi="Arial" w:cs="Arial"/>
        <w:b w:val="0"/>
        <w:bCs/>
        <w:i w:val="0"/>
        <w:strike w:val="0"/>
        <w:dstrike w:val="0"/>
        <w:color w:val="000000"/>
        <w:sz w:val="20"/>
        <w:szCs w:val="20"/>
        <w:u w:val="none" w:color="000000"/>
        <w:bdr w:val="none" w:sz="0" w:space="0" w:color="auto"/>
        <w:shd w:val="clear" w:color="auto" w:fill="auto"/>
        <w:vertAlign w:val="baseline"/>
      </w:rPr>
    </w:lvl>
    <w:lvl w:ilvl="1" w:tplc="92C4F72A">
      <w:start w:val="1"/>
      <w:numFmt w:val="lowerLetter"/>
      <w:lvlText w:val="%2"/>
      <w:lvlJc w:val="left"/>
      <w:pPr>
        <w:ind w:left="14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AF2EE650">
      <w:start w:val="1"/>
      <w:numFmt w:val="lowerRoman"/>
      <w:lvlText w:val="%3"/>
      <w:lvlJc w:val="left"/>
      <w:pPr>
        <w:ind w:left="21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21AC4DE">
      <w:start w:val="1"/>
      <w:numFmt w:val="decimal"/>
      <w:lvlText w:val="%4"/>
      <w:lvlJc w:val="left"/>
      <w:pPr>
        <w:ind w:left="28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2CC9204">
      <w:start w:val="1"/>
      <w:numFmt w:val="lowerLetter"/>
      <w:lvlText w:val="%5"/>
      <w:lvlJc w:val="left"/>
      <w:pPr>
        <w:ind w:left="357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61C328A">
      <w:start w:val="1"/>
      <w:numFmt w:val="lowerRoman"/>
      <w:lvlText w:val="%6"/>
      <w:lvlJc w:val="left"/>
      <w:pPr>
        <w:ind w:left="429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E387086">
      <w:start w:val="1"/>
      <w:numFmt w:val="decimal"/>
      <w:lvlText w:val="%7"/>
      <w:lvlJc w:val="left"/>
      <w:pPr>
        <w:ind w:left="50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4207F3C">
      <w:start w:val="1"/>
      <w:numFmt w:val="lowerLetter"/>
      <w:lvlText w:val="%8"/>
      <w:lvlJc w:val="left"/>
      <w:pPr>
        <w:ind w:left="573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F260B92">
      <w:start w:val="1"/>
      <w:numFmt w:val="lowerRoman"/>
      <w:lvlText w:val="%9"/>
      <w:lvlJc w:val="left"/>
      <w:pPr>
        <w:ind w:left="64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ocumentProtection w:edit="readOnly"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57"/>
    <w:rsid w:val="003A5BD8"/>
    <w:rsid w:val="00601557"/>
    <w:rsid w:val="00641607"/>
    <w:rsid w:val="009046C1"/>
    <w:rsid w:val="00B94895"/>
    <w:rsid w:val="00BC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E0AFD9-E460-43C1-9E8E-79E7C49C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8"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BD8"/>
    <w:pPr>
      <w:ind w:left="720"/>
      <w:contextualSpacing/>
    </w:pPr>
  </w:style>
  <w:style w:type="character" w:styleId="Hyperlink">
    <w:name w:val="Hyperlink"/>
    <w:basedOn w:val="DefaultParagraphFont"/>
    <w:uiPriority w:val="99"/>
    <w:unhideWhenUsed/>
    <w:rsid w:val="003A5BD8"/>
    <w:rPr>
      <w:color w:val="0563C1" w:themeColor="hyperlink"/>
      <w:u w:val="single"/>
    </w:rPr>
  </w:style>
  <w:style w:type="paragraph" w:styleId="Header">
    <w:name w:val="header"/>
    <w:basedOn w:val="Normal"/>
    <w:link w:val="HeaderChar"/>
    <w:uiPriority w:val="99"/>
    <w:unhideWhenUsed/>
    <w:rsid w:val="006416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607"/>
    <w:rPr>
      <w:rFonts w:ascii="Arial" w:eastAsia="Arial" w:hAnsi="Arial" w:cs="Arial"/>
      <w:color w:val="000000"/>
      <w:sz w:val="20"/>
    </w:rPr>
  </w:style>
  <w:style w:type="paragraph" w:styleId="Footer">
    <w:name w:val="footer"/>
    <w:basedOn w:val="Normal"/>
    <w:link w:val="FooterChar"/>
    <w:uiPriority w:val="99"/>
    <w:unhideWhenUsed/>
    <w:rsid w:val="006416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607"/>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osha.go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5.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NHMAXNHNP54T-1116875371-5656</_dlc_DocId>
    <_dlc_DocIdUrl xmlns="cab01c95-1b49-42b7-a546-6473b513887b">
      <Url>http://spdas.ct.gov/webteam/_layouts/DocIdRedir.aspx?ID=NHMAXNHNP54T-1116875371-5656</Url>
      <Description>NHMAXNHNP54T-1116875371-5656</Description>
    </_dlc_DocIdUrl>
  </documentManagement>
</p:properties>
</file>

<file path=customXml/itemProps1.xml><?xml version="1.0" encoding="utf-8"?>
<ds:datastoreItem xmlns:ds="http://schemas.openxmlformats.org/officeDocument/2006/customXml" ds:itemID="{30B68D8D-0396-4FDF-B5E1-E77AEE6CC76D}"/>
</file>

<file path=customXml/itemProps2.xml><?xml version="1.0" encoding="utf-8"?>
<ds:datastoreItem xmlns:ds="http://schemas.openxmlformats.org/officeDocument/2006/customXml" ds:itemID="{A32D456A-26B8-4A88-AA7F-05793EA64C4F}"/>
</file>

<file path=customXml/itemProps3.xml><?xml version="1.0" encoding="utf-8"?>
<ds:datastoreItem xmlns:ds="http://schemas.openxmlformats.org/officeDocument/2006/customXml" ds:itemID="{E487204D-D211-42C9-9705-3BA04F556ADF}"/>
</file>

<file path=customXml/itemProps4.xml><?xml version="1.0" encoding="utf-8"?>
<ds:datastoreItem xmlns:ds="http://schemas.openxmlformats.org/officeDocument/2006/customXml" ds:itemID="{FB3EBEF8-09BF-48B9-8A31-16047924A41A}"/>
</file>

<file path=customXml/itemProps5.xml><?xml version="1.0" encoding="utf-8"?>
<ds:datastoreItem xmlns:ds="http://schemas.openxmlformats.org/officeDocument/2006/customXml" ds:itemID="{2A2D6878-7712-43C7-A776-1BE44C9105DB}"/>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2987</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For consistency:</vt:lpstr>
    </vt:vector>
  </TitlesOfParts>
  <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SCG-3044 Eyewash-Drench Shower Bulletin</dc:title>
  <dc:subject/>
  <dc:creator>Celmer, Bob</dc:creator>
  <cp:keywords/>
  <cp:lastModifiedBy>Celmer, Bob</cp:lastModifiedBy>
  <cp:revision>2</cp:revision>
  <cp:lastPrinted>2017-05-24T21:16:00Z</cp:lastPrinted>
  <dcterms:created xsi:type="dcterms:W3CDTF">2017-05-30T22:14:00Z</dcterms:created>
  <dcterms:modified xsi:type="dcterms:W3CDTF">2017-05-30T22:14:00Z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0x010100A14E74A407B67A4995D6DF5113811DD2</vt:lpwstr>
  </property>
  <property fmtid="{D5CDD505-2E9C-101B-9397-08002B2CF9AE}" pid="3" name="_dlc_DocIdItemGuid">
    <vt:lpwstr>ea1c0add-d9bc-44f8-9e5a-86d403c10d8b</vt:lpwstr>
  </property>
</Properties>
</file>