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46" w:rsidRDefault="00626146" w:rsidP="00800A18"/>
    <w:p w:rsidR="00626146" w:rsidRDefault="00626146" w:rsidP="00800A18"/>
    <w:p w:rsidR="00626146" w:rsidRDefault="00626146" w:rsidP="00F40812"/>
    <w:p w:rsidR="00914C03" w:rsidRPr="00A738F7" w:rsidRDefault="00914C03" w:rsidP="00D17C89">
      <w:pPr>
        <w:jc w:val="center"/>
        <w:rPr>
          <w:rFonts w:cs="Arial"/>
          <w:b/>
          <w:spacing w:val="-2"/>
          <w:sz w:val="28"/>
          <w:szCs w:val="28"/>
        </w:rPr>
      </w:pPr>
      <w:r w:rsidRPr="00A738F7">
        <w:rPr>
          <w:rFonts w:cs="Arial"/>
          <w:b/>
          <w:spacing w:val="-2"/>
          <w:sz w:val="28"/>
          <w:szCs w:val="28"/>
        </w:rPr>
        <w:t>Exhibit B</w:t>
      </w:r>
      <w:r w:rsidR="00EB06E8">
        <w:rPr>
          <w:rFonts w:cs="Arial"/>
          <w:b/>
          <w:spacing w:val="-2"/>
          <w:sz w:val="28"/>
          <w:szCs w:val="28"/>
        </w:rPr>
        <w:t xml:space="preserve">. </w:t>
      </w:r>
      <w:r w:rsidRPr="00A738F7">
        <w:rPr>
          <w:rFonts w:cs="Arial"/>
          <w:b/>
          <w:spacing w:val="-2"/>
          <w:sz w:val="28"/>
          <w:szCs w:val="28"/>
        </w:rPr>
        <w:t>Decision Document</w:t>
      </w:r>
    </w:p>
    <w:p w:rsidR="000C09B8" w:rsidRPr="00A738F7" w:rsidRDefault="000C09B8" w:rsidP="00F40812"/>
    <w:p w:rsidR="006D2FF2" w:rsidRPr="001624E5" w:rsidRDefault="000C09B8" w:rsidP="008D1760">
      <w:pPr>
        <w:pStyle w:val="Heading2"/>
      </w:pPr>
      <w:bookmarkStart w:id="0" w:name="_Groundwater_Use_Restriction"/>
      <w:bookmarkStart w:id="1" w:name="_Toc368260277"/>
      <w:bookmarkEnd w:id="0"/>
      <w:r w:rsidRPr="001624E5">
        <w:t>Groundwater U</w:t>
      </w:r>
      <w:r w:rsidR="006C5D2A" w:rsidRPr="001624E5">
        <w:t>s</w:t>
      </w:r>
      <w:r w:rsidRPr="001624E5">
        <w:t>e</w:t>
      </w:r>
      <w:r w:rsidRPr="00E80B7A">
        <w:rPr>
          <w:u w:val="none"/>
        </w:rPr>
        <w:t xml:space="preserve"> Restriction </w:t>
      </w:r>
      <w:r w:rsidRPr="00E80B7A">
        <w:rPr>
          <w:i w:val="0"/>
          <w:u w:val="none"/>
        </w:rPr>
        <w:t>Form</w:t>
      </w:r>
      <w:bookmarkEnd w:id="1"/>
    </w:p>
    <w:p w:rsidR="004C48B6" w:rsidRPr="0011122F" w:rsidRDefault="004C48B6" w:rsidP="00F40812"/>
    <w:p w:rsidR="00F544A5" w:rsidRDefault="00F544A5" w:rsidP="00F40812">
      <w:pPr>
        <w:rPr>
          <w:snapToGrid w:val="0"/>
        </w:rPr>
      </w:pPr>
      <w:r w:rsidRPr="001B6617">
        <w:rPr>
          <w:snapToGrid w:val="0"/>
        </w:rPr>
        <w:t>In accordance with Section 22a-133k-</w:t>
      </w:r>
      <w:r>
        <w:rPr>
          <w:snapToGrid w:val="0"/>
        </w:rPr>
        <w:t>3</w:t>
      </w:r>
      <w:r w:rsidRPr="001B6617">
        <w:rPr>
          <w:snapToGrid w:val="0"/>
        </w:rPr>
        <w:t>(</w:t>
      </w:r>
      <w:r>
        <w:rPr>
          <w:snapToGrid w:val="0"/>
        </w:rPr>
        <w:t>e)</w:t>
      </w:r>
      <w:r w:rsidRPr="001B6617">
        <w:rPr>
          <w:snapToGrid w:val="0"/>
        </w:rPr>
        <w:t>(</w:t>
      </w:r>
      <w:r>
        <w:rPr>
          <w:snapToGrid w:val="0"/>
        </w:rPr>
        <w:t>2</w:t>
      </w:r>
      <w:r w:rsidRPr="001B6617">
        <w:rPr>
          <w:snapToGrid w:val="0"/>
        </w:rPr>
        <w:t>)(</w:t>
      </w:r>
      <w:r>
        <w:rPr>
          <w:snapToGrid w:val="0"/>
        </w:rPr>
        <w:t xml:space="preserve">C) </w:t>
      </w:r>
      <w:r w:rsidRPr="001B6617">
        <w:rPr>
          <w:snapToGrid w:val="0"/>
        </w:rPr>
        <w:t xml:space="preserve">of the </w:t>
      </w:r>
      <w:r w:rsidR="007469C6">
        <w:rPr>
          <w:snapToGrid w:val="0"/>
        </w:rPr>
        <w:t>Regulations</w:t>
      </w:r>
      <w:r w:rsidRPr="001B6617">
        <w:rPr>
          <w:snapToGrid w:val="0"/>
        </w:rPr>
        <w:t xml:space="preserve"> of Connecticut State Agencies (RCSA)</w:t>
      </w:r>
      <w:r w:rsidR="00A6208C">
        <w:rPr>
          <w:snapToGrid w:val="0"/>
        </w:rPr>
        <w:t>,</w:t>
      </w:r>
      <w:r w:rsidRPr="001B6617">
        <w:rPr>
          <w:snapToGrid w:val="0"/>
        </w:rPr>
        <w:t xml:space="preserve"> </w:t>
      </w:r>
      <w:r>
        <w:rPr>
          <w:snapToGrid w:val="0"/>
        </w:rPr>
        <w:t xml:space="preserve">if the Commissioner grants a </w:t>
      </w:r>
      <w:r w:rsidRPr="00DF2ADE">
        <w:rPr>
          <w:b/>
          <w:snapToGrid w:val="0"/>
        </w:rPr>
        <w:t>variance pursuant to RCSA Section 22a-133k-3(e)(2)</w:t>
      </w:r>
      <w:r w:rsidR="00D65AC2" w:rsidRPr="00DF2ADE">
        <w:rPr>
          <w:b/>
          <w:snapToGrid w:val="0"/>
        </w:rPr>
        <w:t xml:space="preserve"> </w:t>
      </w:r>
      <w:r w:rsidR="00C34587" w:rsidRPr="00DF2ADE">
        <w:rPr>
          <w:b/>
          <w:snapToGrid w:val="0"/>
        </w:rPr>
        <w:t xml:space="preserve">(Technical Impracticability of Groundwater Remediation) </w:t>
      </w:r>
      <w:r w:rsidR="00D65AC2" w:rsidRPr="00DF2ADE">
        <w:rPr>
          <w:b/>
          <w:snapToGrid w:val="0"/>
        </w:rPr>
        <w:t xml:space="preserve">from any </w:t>
      </w:r>
      <w:r w:rsidR="00880488" w:rsidRPr="00DF2ADE">
        <w:rPr>
          <w:b/>
          <w:snapToGrid w:val="0"/>
        </w:rPr>
        <w:t>G</w:t>
      </w:r>
      <w:r w:rsidR="00D65AC2" w:rsidRPr="00DF2ADE">
        <w:rPr>
          <w:b/>
          <w:snapToGrid w:val="0"/>
        </w:rPr>
        <w:t xml:space="preserve">roundwater </w:t>
      </w:r>
      <w:r w:rsidR="00880488" w:rsidRPr="00DF2ADE">
        <w:rPr>
          <w:b/>
          <w:snapToGrid w:val="0"/>
        </w:rPr>
        <w:t>P</w:t>
      </w:r>
      <w:r w:rsidR="00D65AC2" w:rsidRPr="00DF2ADE">
        <w:rPr>
          <w:b/>
          <w:snapToGrid w:val="0"/>
        </w:rPr>
        <w:t xml:space="preserve">rotection </w:t>
      </w:r>
      <w:r w:rsidR="00880488" w:rsidRPr="00DF2ADE">
        <w:rPr>
          <w:b/>
          <w:snapToGrid w:val="0"/>
        </w:rPr>
        <w:t>C</w:t>
      </w:r>
      <w:r w:rsidR="00D65AC2" w:rsidRPr="00DF2ADE">
        <w:rPr>
          <w:b/>
          <w:snapToGrid w:val="0"/>
        </w:rPr>
        <w:t>riterion</w:t>
      </w:r>
      <w:r w:rsidR="00D65AC2">
        <w:rPr>
          <w:snapToGrid w:val="0"/>
        </w:rPr>
        <w:t xml:space="preserve">, the person receiving the variance shall submit to the Commissioner, among other </w:t>
      </w:r>
      <w:r w:rsidR="006A09C6">
        <w:rPr>
          <w:snapToGrid w:val="0"/>
        </w:rPr>
        <w:t>requirements</w:t>
      </w:r>
      <w:r w:rsidR="00D65AC2">
        <w:rPr>
          <w:snapToGrid w:val="0"/>
        </w:rPr>
        <w:t>, certification that best efforts have been made to ensure that each owner of property overlying the subject groundwater plume records an E</w:t>
      </w:r>
      <w:r w:rsidR="009870B7">
        <w:rPr>
          <w:snapToGrid w:val="0"/>
        </w:rPr>
        <w:t>nvironmental Land Use Restriction</w:t>
      </w:r>
      <w:r w:rsidR="00D65AC2">
        <w:rPr>
          <w:snapToGrid w:val="0"/>
        </w:rPr>
        <w:t xml:space="preserve"> which ensures that the subject groundwater plume is not used for drinking or other domestic purposes.</w:t>
      </w:r>
      <w:r>
        <w:rPr>
          <w:rStyle w:val="FootnoteReference"/>
          <w:rFonts w:cs="Arial"/>
          <w:snapToGrid w:val="0"/>
          <w:szCs w:val="20"/>
        </w:rPr>
        <w:footnoteReference w:id="1"/>
      </w:r>
      <w:r>
        <w:rPr>
          <w:snapToGrid w:val="0"/>
        </w:rPr>
        <w:t xml:space="preserve">  </w:t>
      </w:r>
    </w:p>
    <w:p w:rsidR="00F544A5" w:rsidRDefault="00F544A5" w:rsidP="00F40812">
      <w:pPr>
        <w:rPr>
          <w:spacing w:val="-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B3176" w:rsidRPr="00E5072D" w:rsidTr="00D83E52">
        <w:trPr>
          <w:trHeight w:val="288"/>
          <w:jc w:val="center"/>
        </w:trPr>
        <w:tc>
          <w:tcPr>
            <w:tcW w:w="10080" w:type="dxa"/>
            <w:shd w:val="pct10" w:color="auto" w:fill="auto"/>
          </w:tcPr>
          <w:p w:rsidR="00BB3176" w:rsidRDefault="00BB3176" w:rsidP="00F40812">
            <w:pPr>
              <w:pStyle w:val="Style3"/>
            </w:pPr>
          </w:p>
          <w:p w:rsidR="00BB3176" w:rsidRPr="00955A31" w:rsidRDefault="00BB3176" w:rsidP="00D83E52">
            <w:pPr>
              <w:rPr>
                <w:rFonts w:cs="Arial"/>
                <w:b/>
                <w:spacing w:val="-2"/>
                <w:szCs w:val="20"/>
              </w:rPr>
            </w:pPr>
            <w:r w:rsidRPr="00955A31">
              <w:rPr>
                <w:rFonts w:cs="Arial"/>
                <w:b/>
                <w:spacing w:val="-2"/>
                <w:szCs w:val="20"/>
              </w:rPr>
              <w:t>Purpose</w:t>
            </w:r>
            <w:r>
              <w:rPr>
                <w:rFonts w:cs="Arial"/>
                <w:b/>
                <w:spacing w:val="-2"/>
                <w:szCs w:val="20"/>
              </w:rPr>
              <w:t>:</w:t>
            </w:r>
          </w:p>
          <w:p w:rsidR="00BB3176" w:rsidRDefault="00BB3176" w:rsidP="00D83E52">
            <w:pPr>
              <w:rPr>
                <w:rFonts w:cs="Arial"/>
                <w:b/>
                <w:spacing w:val="-2"/>
                <w:sz w:val="18"/>
                <w:szCs w:val="20"/>
              </w:rPr>
            </w:pPr>
          </w:p>
        </w:tc>
      </w:tr>
      <w:tr w:rsidR="00BB3176" w:rsidRPr="00E5072D" w:rsidTr="00D83E52">
        <w:trPr>
          <w:trHeight w:val="288"/>
          <w:jc w:val="center"/>
        </w:trPr>
        <w:tc>
          <w:tcPr>
            <w:tcW w:w="10080" w:type="dxa"/>
            <w:shd w:val="clear" w:color="auto" w:fill="FFFFFF" w:themeFill="background1"/>
          </w:tcPr>
          <w:p w:rsidR="00BB3176" w:rsidRPr="00D72FB4" w:rsidRDefault="00BB3176" w:rsidP="00F40812">
            <w:pPr>
              <w:pStyle w:val="Style3"/>
            </w:pPr>
          </w:p>
          <w:p w:rsidR="00BB3176" w:rsidRPr="00BB3176" w:rsidRDefault="00BB3176" w:rsidP="00F40812">
            <w:pPr>
              <w:pStyle w:val="Style3"/>
            </w:pPr>
            <w:r w:rsidRPr="00BB3176">
              <w:t xml:space="preserve">The purpose of this Environmental Land Use Restriction (ELUR) is to ensure that the groundwater plume at the Subject Area(s) (“Subject Area”) designated below is not utilized for drinking or other domestic purposes.  </w:t>
            </w:r>
          </w:p>
          <w:p w:rsidR="00BB3176" w:rsidRPr="00D72FB4" w:rsidRDefault="00BB3176" w:rsidP="00BB3176">
            <w:pPr>
              <w:rPr>
                <w:rFonts w:cs="Arial"/>
                <w:spacing w:val="-2"/>
                <w:sz w:val="18"/>
                <w:szCs w:val="20"/>
              </w:rPr>
            </w:pPr>
          </w:p>
        </w:tc>
      </w:tr>
      <w:tr w:rsidR="00BB3176" w:rsidRPr="00E5072D" w:rsidTr="00D83E52">
        <w:trPr>
          <w:trHeight w:val="288"/>
          <w:jc w:val="center"/>
        </w:trPr>
        <w:tc>
          <w:tcPr>
            <w:tcW w:w="10080" w:type="dxa"/>
            <w:shd w:val="pct10" w:color="auto" w:fill="auto"/>
          </w:tcPr>
          <w:p w:rsidR="00BB3176" w:rsidRDefault="00BB3176" w:rsidP="00F40812">
            <w:pPr>
              <w:pStyle w:val="Style3"/>
            </w:pPr>
          </w:p>
          <w:p w:rsidR="00BB3176" w:rsidRPr="00D27C95" w:rsidRDefault="00BB3176" w:rsidP="00D83E52">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BB3176" w:rsidRPr="0011122F" w:rsidRDefault="00BB3176" w:rsidP="00D83E52">
            <w:pPr>
              <w:rPr>
                <w:rFonts w:cs="Arial"/>
                <w:spacing w:val="-2"/>
                <w:sz w:val="18"/>
                <w:szCs w:val="20"/>
              </w:rPr>
            </w:pPr>
          </w:p>
        </w:tc>
      </w:tr>
      <w:tr w:rsidR="00BB3176" w:rsidRPr="00E5072D" w:rsidTr="00D83E52">
        <w:trPr>
          <w:trHeight w:val="1728"/>
          <w:jc w:val="center"/>
        </w:trPr>
        <w:tc>
          <w:tcPr>
            <w:tcW w:w="10080" w:type="dxa"/>
            <w:tcBorders>
              <w:bottom w:val="single" w:sz="4" w:space="0" w:color="000000"/>
            </w:tcBorders>
          </w:tcPr>
          <w:p w:rsidR="00BB3176" w:rsidRPr="00D72FB4" w:rsidRDefault="00BB3176" w:rsidP="00F40812">
            <w:pPr>
              <w:pStyle w:val="Style3"/>
            </w:pPr>
          </w:p>
          <w:p w:rsidR="00BB3176" w:rsidRPr="005F2F15" w:rsidRDefault="00BB3176" w:rsidP="00F40812">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BB3176" w:rsidRPr="00D72FB4" w:rsidRDefault="00BB3176" w:rsidP="00F40812">
            <w:pPr>
              <w:pStyle w:val="Style4"/>
            </w:pPr>
          </w:p>
          <w:p w:rsidR="00BB3176" w:rsidRPr="002A6AD9" w:rsidRDefault="00BB3176" w:rsidP="00F40812">
            <w:pPr>
              <w:pStyle w:val="Style4"/>
            </w:pPr>
            <w:r w:rsidRPr="002A6AD9">
              <w:t>(</w:t>
            </w:r>
            <w:r>
              <w:t>C</w:t>
            </w:r>
            <w:r w:rsidRPr="002A6AD9">
              <w:t>heck box</w:t>
            </w:r>
            <w:r>
              <w:t>.</w:t>
            </w:r>
            <w:r w:rsidRPr="002A6AD9">
              <w:t>)</w:t>
            </w:r>
          </w:p>
          <w:p w:rsidR="00BB3176" w:rsidRPr="00E534E3" w:rsidRDefault="00BB3176" w:rsidP="00F40812">
            <w:pPr>
              <w:pStyle w:val="Style4"/>
            </w:pPr>
          </w:p>
          <w:p w:rsidR="00BB3176" w:rsidRPr="00E5072D" w:rsidRDefault="00263910" w:rsidP="00F40812">
            <w:pPr>
              <w:pStyle w:val="Style3"/>
              <w:ind w:left="342" w:hanging="342"/>
            </w:pPr>
            <w:r w:rsidRPr="00E5072D">
              <w:fldChar w:fldCharType="begin">
                <w:ffData>
                  <w:name w:val="Check47"/>
                  <w:enabled/>
                  <w:calcOnExit w:val="0"/>
                  <w:checkBox>
                    <w:sizeAuto/>
                    <w:default w:val="0"/>
                  </w:checkBox>
                </w:ffData>
              </w:fldChar>
            </w:r>
            <w:r w:rsidR="00BB3176" w:rsidRPr="00E5072D">
              <w:instrText xml:space="preserve"> FORMCHECKBOX </w:instrText>
            </w:r>
            <w:r>
              <w:fldChar w:fldCharType="separate"/>
            </w:r>
            <w:r w:rsidRPr="00E5072D">
              <w:fldChar w:fldCharType="end"/>
            </w:r>
            <w:r w:rsidR="00BB3176">
              <w:t xml:space="preserve">   The groundwater plume is not used for drinking or other domestic purposes </w:t>
            </w:r>
            <w:r w:rsidR="00BB3176" w:rsidRPr="00E5072D">
              <w:t xml:space="preserve">in accordance with </w:t>
            </w:r>
            <w:r w:rsidR="00BB3176">
              <w:t xml:space="preserve">RCSA </w:t>
            </w:r>
            <w:r w:rsidR="00BB3176" w:rsidRPr="00E5072D">
              <w:t>Section 22a-133k-3(e)(2)(C)</w:t>
            </w:r>
            <w:r w:rsidR="00BB3176">
              <w:t>.</w:t>
            </w:r>
          </w:p>
          <w:p w:rsidR="00BB3176" w:rsidRDefault="00BB3176" w:rsidP="00F40812">
            <w:pPr>
              <w:pStyle w:val="Style4"/>
            </w:pPr>
          </w:p>
          <w:p w:rsidR="00BB3176" w:rsidRDefault="00BB3176" w:rsidP="00F40812">
            <w:pPr>
              <w:pStyle w:val="Style4"/>
            </w:pPr>
            <w:r w:rsidRPr="00E3575A">
              <w:t>(Check box that appl</w:t>
            </w:r>
            <w:r>
              <w:t>ies</w:t>
            </w:r>
            <w:r w:rsidR="0011122F">
              <w:t>;</w:t>
            </w:r>
            <w:r>
              <w:t xml:space="preserve"> enter Subject Area(s) designation</w:t>
            </w:r>
            <w:r w:rsidR="00A6208C">
              <w:t>.</w:t>
            </w:r>
            <w:r w:rsidRPr="00E3575A">
              <w:t xml:space="preserve">) </w:t>
            </w:r>
          </w:p>
          <w:p w:rsidR="00BB3176" w:rsidRPr="00067D0E" w:rsidRDefault="00BB3176" w:rsidP="00F40812">
            <w:pPr>
              <w:pStyle w:val="Style4"/>
            </w:pPr>
          </w:p>
          <w:p w:rsidR="00BB3176" w:rsidRPr="00E5072D" w:rsidRDefault="00263910" w:rsidP="00F40812">
            <w:pPr>
              <w:pStyle w:val="Style3"/>
            </w:pPr>
            <w:r w:rsidRPr="00E5072D">
              <w:fldChar w:fldCharType="begin">
                <w:ffData>
                  <w:name w:val="Check47"/>
                  <w:enabled/>
                  <w:calcOnExit w:val="0"/>
                  <w:checkBox>
                    <w:sizeAuto/>
                    <w:default w:val="0"/>
                  </w:checkBox>
                </w:ffData>
              </w:fldChar>
            </w:r>
            <w:r w:rsidR="00BB3176" w:rsidRPr="00E5072D">
              <w:instrText xml:space="preserve"> FORMCHECKBOX </w:instrText>
            </w:r>
            <w:r>
              <w:fldChar w:fldCharType="separate"/>
            </w:r>
            <w:r w:rsidRPr="00E5072D">
              <w:fldChar w:fldCharType="end"/>
            </w:r>
            <w:r w:rsidR="00BB3176" w:rsidRPr="00E5072D">
              <w:t xml:space="preserve"> </w:t>
            </w:r>
            <w:r w:rsidR="00BB3176">
              <w:t xml:space="preserve">  </w:t>
            </w:r>
            <w:r w:rsidR="00BB3176" w:rsidRPr="00E5072D">
              <w:t>Subject Area</w:t>
            </w:r>
            <w:r w:rsidR="00BB3176">
              <w:t xml:space="preserve"> </w:t>
            </w:r>
            <w:r>
              <w:rPr>
                <w:shd w:val="clear" w:color="auto" w:fill="D9D9D9"/>
              </w:rPr>
              <w:fldChar w:fldCharType="begin">
                <w:ffData>
                  <w:name w:val=""/>
                  <w:enabled/>
                  <w:calcOnExit w:val="0"/>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Pr>
                <w:shd w:val="clear" w:color="auto" w:fill="D9D9D9"/>
              </w:rPr>
              <w:fldChar w:fldCharType="end"/>
            </w:r>
            <w:r w:rsidR="00BB3176" w:rsidRPr="00E5072D">
              <w:t xml:space="preserve"> is the entire Property.</w:t>
            </w:r>
          </w:p>
          <w:p w:rsidR="00BB3176" w:rsidRPr="00E5072D" w:rsidRDefault="00BB3176" w:rsidP="00F40812">
            <w:pPr>
              <w:pStyle w:val="Style5"/>
            </w:pPr>
          </w:p>
          <w:p w:rsidR="00BB3176" w:rsidRPr="00E5072D" w:rsidRDefault="00BB3176" w:rsidP="00F40812">
            <w:pPr>
              <w:pStyle w:val="Style3"/>
            </w:pPr>
            <w:r w:rsidRPr="00E5072D">
              <w:t>or</w:t>
            </w:r>
          </w:p>
          <w:p w:rsidR="00BB3176" w:rsidRPr="00E5072D" w:rsidRDefault="00BB3176" w:rsidP="00F40812">
            <w:pPr>
              <w:pStyle w:val="Style5"/>
            </w:pPr>
          </w:p>
          <w:p w:rsidR="00BB3176" w:rsidRDefault="00263910" w:rsidP="00F40812">
            <w:pPr>
              <w:pStyle w:val="Style3"/>
            </w:pPr>
            <w:r w:rsidRPr="00E5072D">
              <w:fldChar w:fldCharType="begin">
                <w:ffData>
                  <w:name w:val="Check47"/>
                  <w:enabled/>
                  <w:calcOnExit w:val="0"/>
                  <w:checkBox>
                    <w:sizeAuto/>
                    <w:default w:val="0"/>
                    <w:checked w:val="0"/>
                  </w:checkBox>
                </w:ffData>
              </w:fldChar>
            </w:r>
            <w:r w:rsidR="00BB3176" w:rsidRPr="00E5072D">
              <w:instrText xml:space="preserve"> FORMCHECKBOX </w:instrText>
            </w:r>
            <w:r>
              <w:fldChar w:fldCharType="separate"/>
            </w:r>
            <w:r w:rsidRPr="00E5072D">
              <w:fldChar w:fldCharType="end"/>
            </w:r>
            <w:r w:rsidR="00BB3176" w:rsidRPr="00E5072D">
              <w:t xml:space="preserve"> </w:t>
            </w:r>
            <w:r w:rsidR="00BB3176">
              <w:t xml:space="preserve">  </w:t>
            </w:r>
            <w:r w:rsidR="00BB3176" w:rsidRPr="00E5072D">
              <w:t xml:space="preserve">Subject Area </w:t>
            </w:r>
            <w:r>
              <w:rPr>
                <w:shd w:val="clear" w:color="auto" w:fill="D9D9D9"/>
              </w:rPr>
              <w:fldChar w:fldCharType="begin">
                <w:ffData>
                  <w:name w:val=""/>
                  <w:enabled/>
                  <w:calcOnExit w:val="0"/>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Pr>
                <w:shd w:val="clear" w:color="auto" w:fill="D9D9D9"/>
              </w:rPr>
              <w:fldChar w:fldCharType="end"/>
            </w:r>
            <w:r w:rsidR="00BB3176" w:rsidRPr="00E5072D">
              <w:t xml:space="preserve"> is</w:t>
            </w:r>
            <w:r w:rsidR="00BB3176">
              <w:t>/are</w:t>
            </w:r>
            <w:r w:rsidR="00BB3176" w:rsidRPr="00E5072D">
              <w:t xml:space="preserve"> a portion, or portion</w:t>
            </w:r>
            <w:r w:rsidR="00BB3176">
              <w:t>s</w:t>
            </w:r>
            <w:r w:rsidR="00BB3176" w:rsidRPr="00E5072D">
              <w:t xml:space="preserve"> thereof </w:t>
            </w:r>
            <w:r w:rsidR="00BB3176">
              <w:t xml:space="preserve">the </w:t>
            </w:r>
            <w:r w:rsidR="00BB3176" w:rsidRPr="00E5072D">
              <w:t xml:space="preserve">Property. </w:t>
            </w:r>
          </w:p>
          <w:p w:rsidR="00BB3176" w:rsidRPr="00D72FB4" w:rsidRDefault="00BB3176" w:rsidP="00F40812">
            <w:pPr>
              <w:pStyle w:val="Style3"/>
            </w:pPr>
          </w:p>
          <w:p w:rsidR="00BB3176" w:rsidRPr="00E5072D" w:rsidRDefault="00BB3176" w:rsidP="00F40812">
            <w:pPr>
              <w:pStyle w:val="Style3"/>
            </w:pPr>
          </w:p>
        </w:tc>
      </w:tr>
      <w:tr w:rsidR="00BB3176" w:rsidRPr="00E5072D" w:rsidTr="00D83E52">
        <w:trPr>
          <w:trHeight w:val="1025"/>
          <w:jc w:val="center"/>
        </w:trPr>
        <w:tc>
          <w:tcPr>
            <w:tcW w:w="10080" w:type="dxa"/>
            <w:shd w:val="pct10" w:color="auto" w:fill="auto"/>
          </w:tcPr>
          <w:p w:rsidR="00BB3176" w:rsidRDefault="00BB3176" w:rsidP="00F40812">
            <w:pPr>
              <w:pStyle w:val="Style3"/>
            </w:pPr>
          </w:p>
          <w:p w:rsidR="00BB3176" w:rsidRDefault="00BB3176" w:rsidP="00D83E52">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BB3176" w:rsidRPr="005F2F15" w:rsidRDefault="00BB3176" w:rsidP="00F40812">
            <w:pPr>
              <w:pStyle w:val="Style5"/>
            </w:pPr>
          </w:p>
          <w:p w:rsidR="00BB3176" w:rsidRPr="005F2F15" w:rsidRDefault="00BB3176" w:rsidP="00F40812">
            <w:pPr>
              <w:pStyle w:val="Style3"/>
            </w:pPr>
            <w:r w:rsidRPr="005F2F15">
              <w:rPr>
                <w:szCs w:val="20"/>
              </w:rPr>
              <w:t>(</w:t>
            </w:r>
            <w:r>
              <w:rPr>
                <w:szCs w:val="20"/>
              </w:rPr>
              <w:t>At c</w:t>
            </w:r>
            <w:r w:rsidRPr="005F2F15">
              <w:rPr>
                <w:szCs w:val="20"/>
              </w:rPr>
              <w:t>oncentrations g</w:t>
            </w:r>
            <w:r w:rsidRPr="005F2F15">
              <w:t xml:space="preserve">reater than the </w:t>
            </w:r>
            <w:r>
              <w:t xml:space="preserve">Groundwater Protection Criteria </w:t>
            </w:r>
            <w:r w:rsidRPr="005F2F15">
              <w:t>)</w:t>
            </w:r>
          </w:p>
          <w:p w:rsidR="00BB3176" w:rsidRPr="00BE6746" w:rsidRDefault="00BB3176" w:rsidP="00F40812">
            <w:pPr>
              <w:pStyle w:val="Style3"/>
            </w:pPr>
          </w:p>
        </w:tc>
      </w:tr>
      <w:tr w:rsidR="00BB3176" w:rsidRPr="00E5072D" w:rsidTr="00D83E52">
        <w:trPr>
          <w:trHeight w:val="530"/>
          <w:jc w:val="center"/>
        </w:trPr>
        <w:tc>
          <w:tcPr>
            <w:tcW w:w="10080" w:type="dxa"/>
          </w:tcPr>
          <w:p w:rsidR="00BB3176" w:rsidRPr="00D72FB4" w:rsidRDefault="00BB3176" w:rsidP="00F40812">
            <w:pPr>
              <w:pStyle w:val="Style4"/>
            </w:pPr>
          </w:p>
          <w:p w:rsidR="00BB3176" w:rsidRPr="00E93F96" w:rsidRDefault="00BB3176" w:rsidP="00F40812">
            <w:pPr>
              <w:pStyle w:val="Style4"/>
            </w:pPr>
            <w:r w:rsidRPr="00E93F96">
              <w:t xml:space="preserve">(Enter the type of substances, </w:t>
            </w:r>
            <w:r>
              <w:t>e.g.</w:t>
            </w:r>
            <w:r w:rsidRPr="00E93F96">
              <w:t xml:space="preserve">, </w:t>
            </w:r>
            <w:r>
              <w:t xml:space="preserve">by </w:t>
            </w:r>
            <w:r w:rsidRPr="00E93F96">
              <w:t>substance name or category</w:t>
            </w:r>
            <w:r>
              <w:t>,</w:t>
            </w:r>
            <w:r w:rsidRPr="00E93F96">
              <w:t xml:space="preserve"> at each Subject Area</w:t>
            </w:r>
            <w:r>
              <w:t>.</w:t>
            </w:r>
            <w:r w:rsidRPr="00E93F96">
              <w:t>)</w:t>
            </w:r>
          </w:p>
          <w:p w:rsidR="00BB3176" w:rsidRPr="00D72FB4" w:rsidRDefault="00BB3176" w:rsidP="00F40812">
            <w:pPr>
              <w:pStyle w:val="Style4"/>
              <w:rPr>
                <w:sz w:val="18"/>
              </w:rPr>
            </w:pPr>
          </w:p>
          <w:p w:rsidR="00BB3176" w:rsidRPr="00980C1B" w:rsidRDefault="00263910" w:rsidP="00F40812">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xml:space="preserve"> Text box - enter text directly into the space provided (unlimited).</w:t>
            </w:r>
            <w:r>
              <w:rPr>
                <w:shd w:val="clear" w:color="auto" w:fill="D9D9D9"/>
              </w:rPr>
              <w:fldChar w:fldCharType="end"/>
            </w:r>
          </w:p>
          <w:p w:rsidR="00BB3176" w:rsidRPr="00D72FB4" w:rsidRDefault="00BB3176" w:rsidP="00D83E52">
            <w:pPr>
              <w:tabs>
                <w:tab w:val="left" w:pos="3852"/>
              </w:tabs>
              <w:rPr>
                <w:rFonts w:cs="Arial"/>
                <w:spacing w:val="-2"/>
                <w:sz w:val="18"/>
                <w:szCs w:val="20"/>
                <w:highlight w:val="magenta"/>
              </w:rPr>
            </w:pPr>
          </w:p>
        </w:tc>
      </w:tr>
    </w:tbl>
    <w:p w:rsidR="00BB3176" w:rsidRDefault="00BB3176" w:rsidP="00F544A5">
      <w:pPr>
        <w:rPr>
          <w:spacing w:val="-2"/>
        </w:rPr>
      </w:pPr>
    </w:p>
    <w:p w:rsidR="00464D46" w:rsidRPr="00822064" w:rsidRDefault="00464D46">
      <w:pPr>
        <w:rPr>
          <w:rFonts w:cs="Arial"/>
          <w:b/>
        </w:rPr>
      </w:pPr>
      <w:r>
        <w:br w:type="page"/>
      </w:r>
      <w:r w:rsidR="009F42AC" w:rsidRPr="00822064">
        <w:rPr>
          <w:rFonts w:cs="Arial"/>
          <w:b/>
        </w:rPr>
        <w:lastRenderedPageBreak/>
        <w:t>AND</w:t>
      </w:r>
    </w:p>
    <w:p w:rsidR="009F42AC" w:rsidRDefault="009F42AC" w:rsidP="00F40812"/>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B3176" w:rsidRPr="00E5072D" w:rsidTr="00D83E52">
        <w:trPr>
          <w:trHeight w:val="288"/>
          <w:jc w:val="center"/>
        </w:trPr>
        <w:tc>
          <w:tcPr>
            <w:tcW w:w="10080" w:type="dxa"/>
            <w:shd w:val="clear" w:color="auto" w:fill="D9D9D9"/>
          </w:tcPr>
          <w:p w:rsidR="00BB3176" w:rsidRPr="0011122F" w:rsidRDefault="00BB3176" w:rsidP="00F40812">
            <w:pPr>
              <w:pStyle w:val="Style3"/>
              <w:rPr>
                <w:szCs w:val="20"/>
              </w:rPr>
            </w:pPr>
            <w:r>
              <w:br w:type="page"/>
            </w:r>
          </w:p>
          <w:p w:rsidR="00BB3176" w:rsidRDefault="00BB3176" w:rsidP="00D83E52">
            <w:pPr>
              <w:rPr>
                <w:rFonts w:cs="Arial"/>
                <w:b/>
                <w:spacing w:val="-2"/>
                <w:szCs w:val="20"/>
              </w:rPr>
            </w:pPr>
            <w:r>
              <w:rPr>
                <w:rFonts w:cs="Arial"/>
                <w:b/>
                <w:spacing w:val="-2"/>
                <w:szCs w:val="20"/>
              </w:rPr>
              <w:t>Reasons Restriction or Limitation are Necessary to Adequately Protect Human Health and the Environment:</w:t>
            </w:r>
          </w:p>
          <w:p w:rsidR="00BB3176" w:rsidRPr="00E5072D" w:rsidRDefault="00BB3176" w:rsidP="00F40812">
            <w:pPr>
              <w:pStyle w:val="Style3"/>
            </w:pPr>
          </w:p>
        </w:tc>
      </w:tr>
      <w:tr w:rsidR="00BB3176" w:rsidRPr="00406E02" w:rsidTr="00D83E52">
        <w:trPr>
          <w:trHeight w:val="1439"/>
          <w:jc w:val="center"/>
        </w:trPr>
        <w:tc>
          <w:tcPr>
            <w:tcW w:w="10080" w:type="dxa"/>
            <w:shd w:val="clear" w:color="auto" w:fill="FFFFFF"/>
          </w:tcPr>
          <w:p w:rsidR="00BB3176" w:rsidRDefault="00BB3176" w:rsidP="00F40812">
            <w:pPr>
              <w:pStyle w:val="Style3"/>
            </w:pPr>
          </w:p>
          <w:p w:rsidR="00BB3176" w:rsidRDefault="00BB3176" w:rsidP="00F40812">
            <w:pPr>
              <w:pStyle w:val="Style3"/>
            </w:pPr>
            <w:r w:rsidRPr="00E5072D">
              <w:t xml:space="preserve">If the </w:t>
            </w:r>
            <w:r w:rsidRPr="00C16E71">
              <w:t xml:space="preserve">groundwater </w:t>
            </w:r>
            <w:r>
              <w:t xml:space="preserve">plume </w:t>
            </w:r>
            <w:r w:rsidRPr="00C16E71">
              <w:t>is</w:t>
            </w:r>
            <w:r>
              <w:t xml:space="preserve"> </w:t>
            </w:r>
            <w:r w:rsidRPr="00E5072D">
              <w:t xml:space="preserve">used for drinking, or other domestic purposes, such </w:t>
            </w:r>
            <w:r w:rsidRPr="00694ED7">
              <w:t>polluted groundwater</w:t>
            </w:r>
            <w:r w:rsidRPr="00E5072D">
              <w:t xml:space="preserve"> may pose an unacceptable risk to human health. </w:t>
            </w:r>
          </w:p>
          <w:p w:rsidR="00BB3176" w:rsidRDefault="00BB3176" w:rsidP="00F40812">
            <w:pPr>
              <w:pStyle w:val="Style3"/>
            </w:pPr>
          </w:p>
          <w:p w:rsidR="00BB3176" w:rsidRDefault="00BB3176" w:rsidP="00F40812">
            <w:pPr>
              <w:pStyle w:val="Style3"/>
            </w:pPr>
            <w:r>
              <w:t>Provided the subject groundwater plume is not used for drinking, or other domestic purposes, s</w:t>
            </w:r>
            <w:r w:rsidRPr="00E5072D">
              <w:t xml:space="preserve">uch </w:t>
            </w:r>
            <w:r w:rsidRPr="00694ED7">
              <w:t>polluted groundwater plume</w:t>
            </w:r>
            <w:r>
              <w:t xml:space="preserve"> </w:t>
            </w:r>
            <w:r w:rsidRPr="00E5072D">
              <w:t>does not pose a</w:t>
            </w:r>
            <w:r>
              <w:t xml:space="preserve">n unacceptable risk to </w:t>
            </w:r>
            <w:r w:rsidRPr="00E5072D">
              <w:t xml:space="preserve">human health.  </w:t>
            </w:r>
          </w:p>
          <w:p w:rsidR="00BB3176" w:rsidRPr="00406E02" w:rsidRDefault="00BB3176" w:rsidP="00D83E52">
            <w:pPr>
              <w:ind w:left="-8"/>
              <w:rPr>
                <w:rFonts w:cs="Arial"/>
                <w:sz w:val="16"/>
                <w:szCs w:val="20"/>
              </w:rPr>
            </w:pPr>
          </w:p>
        </w:tc>
      </w:tr>
      <w:tr w:rsidR="00BB3176" w:rsidRPr="00E5072D" w:rsidTr="00D83E52">
        <w:trPr>
          <w:trHeight w:val="288"/>
          <w:jc w:val="center"/>
        </w:trPr>
        <w:tc>
          <w:tcPr>
            <w:tcW w:w="10080" w:type="dxa"/>
            <w:shd w:val="clear" w:color="auto" w:fill="D9D9D9"/>
          </w:tcPr>
          <w:p w:rsidR="00BB3176" w:rsidRPr="0011122F" w:rsidRDefault="00BB3176" w:rsidP="00F40812">
            <w:pPr>
              <w:pStyle w:val="Style3"/>
              <w:rPr>
                <w:szCs w:val="20"/>
              </w:rPr>
            </w:pPr>
            <w:r>
              <w:br w:type="page"/>
            </w:r>
          </w:p>
          <w:p w:rsidR="00BB3176" w:rsidRDefault="00BB3176" w:rsidP="00D83E52">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BB3176" w:rsidRPr="00E5072D" w:rsidRDefault="00BB3176" w:rsidP="00F40812">
            <w:pPr>
              <w:pStyle w:val="Style3"/>
            </w:pPr>
          </w:p>
        </w:tc>
      </w:tr>
      <w:tr w:rsidR="00BB3176" w:rsidRPr="00E5072D" w:rsidTr="00D83E52">
        <w:trPr>
          <w:trHeight w:val="1728"/>
          <w:jc w:val="center"/>
        </w:trPr>
        <w:tc>
          <w:tcPr>
            <w:tcW w:w="10080" w:type="dxa"/>
            <w:shd w:val="clear" w:color="auto" w:fill="FFFFFF"/>
          </w:tcPr>
          <w:p w:rsidR="0011122F" w:rsidRPr="00D72FB4" w:rsidRDefault="0011122F" w:rsidP="00F40812">
            <w:pPr>
              <w:pStyle w:val="Style4"/>
            </w:pPr>
          </w:p>
          <w:p w:rsidR="00BB3176" w:rsidRPr="004D649B" w:rsidRDefault="00BB3176" w:rsidP="00F40812">
            <w:pPr>
              <w:pStyle w:val="Style4"/>
              <w:rPr>
                <w:szCs w:val="20"/>
              </w:rPr>
            </w:pPr>
            <w:r w:rsidRPr="004D649B">
              <w:rPr>
                <w:szCs w:val="20"/>
              </w:rPr>
              <w:t>(Check both boxes</w:t>
            </w:r>
            <w:r>
              <w:rPr>
                <w:szCs w:val="20"/>
              </w:rPr>
              <w:t>; enter Subject Area(s) designation.</w:t>
            </w:r>
            <w:r w:rsidRPr="004D649B">
              <w:rPr>
                <w:szCs w:val="20"/>
              </w:rPr>
              <w:t>)</w:t>
            </w:r>
          </w:p>
          <w:p w:rsidR="00BB3176" w:rsidRDefault="00BB3176" w:rsidP="00F40812">
            <w:pPr>
              <w:pStyle w:val="Style4"/>
              <w:rPr>
                <w:sz w:val="18"/>
                <w:szCs w:val="20"/>
              </w:rPr>
            </w:pPr>
          </w:p>
          <w:p w:rsidR="00A6208C" w:rsidRDefault="00263910" w:rsidP="00F40812">
            <w:pPr>
              <w:pStyle w:val="Style3"/>
              <w:ind w:left="342" w:hanging="342"/>
            </w:pPr>
            <w:r w:rsidRPr="0019628D">
              <w:fldChar w:fldCharType="begin">
                <w:ffData>
                  <w:name w:val="Check47"/>
                  <w:enabled/>
                  <w:calcOnExit w:val="0"/>
                  <w:checkBox>
                    <w:sizeAuto/>
                    <w:default w:val="0"/>
                  </w:checkBox>
                </w:ffData>
              </w:fldChar>
            </w:r>
            <w:r w:rsidR="00BB3176" w:rsidRPr="0019628D">
              <w:instrText xml:space="preserve"> FORMCHECKBOX </w:instrText>
            </w:r>
            <w:r>
              <w:fldChar w:fldCharType="separate"/>
            </w:r>
            <w:r w:rsidRPr="0019628D">
              <w:fldChar w:fldCharType="end"/>
            </w:r>
            <w:r w:rsidR="00BB3176" w:rsidRPr="0019628D">
              <w:t xml:space="preserve"> </w:t>
            </w:r>
            <w:r w:rsidR="00BB3176">
              <w:t xml:space="preserve">  The Commissioner of the Department of </w:t>
            </w:r>
            <w:r w:rsidR="00B16807">
              <w:t>Energy &amp;</w:t>
            </w:r>
            <w:r w:rsidR="00BB3176">
              <w:t xml:space="preserve"> Environmental Protection has granted a variance from any Groundwater Protection Criteria due to technical impracticability of groundwater remediation pursuant to RCSA 22a-133k-3(e)</w:t>
            </w:r>
            <w:r w:rsidR="00BB3176" w:rsidRPr="00E5072D">
              <w:t>(2).</w:t>
            </w:r>
          </w:p>
          <w:p w:rsidR="00A6208C" w:rsidRDefault="00A6208C" w:rsidP="00F40812">
            <w:pPr>
              <w:pStyle w:val="Style3"/>
            </w:pPr>
          </w:p>
          <w:p w:rsidR="00A6208C" w:rsidRDefault="00A6208C" w:rsidP="00F40812">
            <w:pPr>
              <w:pStyle w:val="Style3"/>
              <w:ind w:left="342"/>
            </w:pPr>
            <w:r>
              <w:t>Date of C</w:t>
            </w:r>
            <w:r w:rsidRPr="00BE6746">
              <w:t>ommissioner</w:t>
            </w:r>
            <w:r>
              <w:t>’</w:t>
            </w:r>
            <w:r w:rsidRPr="00BE6746">
              <w:t xml:space="preserve">s approval of the </w:t>
            </w:r>
            <w:r w:rsidR="00B44F8C">
              <w:t>v</w:t>
            </w:r>
            <w:r>
              <w:t xml:space="preserve">ariance due to </w:t>
            </w:r>
            <w:r w:rsidRPr="00BE6746">
              <w:t xml:space="preserve">Technical Impracticability </w:t>
            </w:r>
            <w:r>
              <w:t>of Groundwater Remediation.</w:t>
            </w:r>
            <w:r w:rsidRPr="00BE6746">
              <w:t xml:space="preserve"> </w:t>
            </w:r>
            <w:r>
              <w:t xml:space="preserve"> </w:t>
            </w:r>
            <w:r w:rsidR="00263910">
              <w:rPr>
                <w:shd w:val="clear" w:color="auto" w:fill="D9D9D9"/>
              </w:rPr>
              <w:fldChar w:fldCharType="begin">
                <w:ffData>
                  <w:name w:val=""/>
                  <w:enabled/>
                  <w:calcOnExit w:val="0"/>
                  <w:textInput/>
                </w:ffData>
              </w:fldChar>
            </w:r>
            <w:r>
              <w:rPr>
                <w:shd w:val="clear" w:color="auto" w:fill="D9D9D9"/>
              </w:rPr>
              <w:instrText xml:space="preserve"> FORMTEXT </w:instrText>
            </w:r>
            <w:r w:rsidR="00263910">
              <w:rPr>
                <w:shd w:val="clear" w:color="auto" w:fill="D9D9D9"/>
              </w:rPr>
            </w:r>
            <w:r w:rsidR="00263910">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263910">
              <w:rPr>
                <w:shd w:val="clear" w:color="auto" w:fill="D9D9D9"/>
              </w:rPr>
              <w:fldChar w:fldCharType="end"/>
            </w:r>
            <w:r>
              <w:t xml:space="preserve">  </w:t>
            </w:r>
          </w:p>
          <w:p w:rsidR="00BB3176" w:rsidRPr="00712B71" w:rsidRDefault="00BB3176" w:rsidP="00F40812">
            <w:pPr>
              <w:pStyle w:val="Style5"/>
            </w:pPr>
          </w:p>
          <w:p w:rsidR="00BB3176" w:rsidRPr="00AB20C0" w:rsidRDefault="00BB3176" w:rsidP="00F40812">
            <w:pPr>
              <w:pStyle w:val="Style3"/>
            </w:pPr>
            <w:r w:rsidRPr="00AB20C0">
              <w:t>and</w:t>
            </w:r>
          </w:p>
          <w:p w:rsidR="00BB3176" w:rsidRPr="00712B71" w:rsidRDefault="00BB3176" w:rsidP="00F40812">
            <w:pPr>
              <w:pStyle w:val="Style5"/>
            </w:pPr>
          </w:p>
          <w:p w:rsidR="00BB3176" w:rsidRPr="00E5072D" w:rsidRDefault="00263910" w:rsidP="00F40812">
            <w:pPr>
              <w:pStyle w:val="Style3"/>
              <w:ind w:left="342" w:hanging="342"/>
            </w:pPr>
            <w:r w:rsidRPr="0019628D">
              <w:fldChar w:fldCharType="begin">
                <w:ffData>
                  <w:name w:val="Check47"/>
                  <w:enabled/>
                  <w:calcOnExit w:val="0"/>
                  <w:checkBox>
                    <w:sizeAuto/>
                    <w:default w:val="0"/>
                  </w:checkBox>
                </w:ffData>
              </w:fldChar>
            </w:r>
            <w:r w:rsidR="00BB3176" w:rsidRPr="0019628D">
              <w:instrText xml:space="preserve"> FORMCHECKBOX </w:instrText>
            </w:r>
            <w:r>
              <w:fldChar w:fldCharType="separate"/>
            </w:r>
            <w:r w:rsidRPr="0019628D">
              <w:fldChar w:fldCharType="end"/>
            </w:r>
            <w:r w:rsidR="00BB3176">
              <w:t xml:space="preserve">   The subject groundwater plume at Subject Area </w:t>
            </w:r>
            <w:r>
              <w:rPr>
                <w:shd w:val="clear" w:color="auto" w:fill="D9D9D9"/>
              </w:rPr>
              <w:fldChar w:fldCharType="begin">
                <w:ffData>
                  <w:name w:val=""/>
                  <w:enabled/>
                  <w:calcOnExit w:val="0"/>
                  <w:textInput/>
                </w:ffData>
              </w:fldChar>
            </w:r>
            <w:r w:rsidR="00BB3176">
              <w:rPr>
                <w:shd w:val="clear" w:color="auto" w:fill="D9D9D9"/>
              </w:rPr>
              <w:instrText xml:space="preserve"> FORMTEXT </w:instrText>
            </w:r>
            <w:r>
              <w:rPr>
                <w:shd w:val="clear" w:color="auto" w:fill="D9D9D9"/>
              </w:rPr>
            </w:r>
            <w:r>
              <w:rPr>
                <w:shd w:val="clear" w:color="auto" w:fill="D9D9D9"/>
              </w:rPr>
              <w:fldChar w:fldCharType="separate"/>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sidR="00BB3176">
              <w:rPr>
                <w:noProof/>
                <w:shd w:val="clear" w:color="auto" w:fill="D9D9D9"/>
              </w:rPr>
              <w:t> </w:t>
            </w:r>
            <w:r>
              <w:rPr>
                <w:shd w:val="clear" w:color="auto" w:fill="D9D9D9"/>
              </w:rPr>
              <w:fldChar w:fldCharType="end"/>
            </w:r>
            <w:r w:rsidR="00BB3176">
              <w:rPr>
                <w:shd w:val="clear" w:color="auto" w:fill="D9D9D9"/>
              </w:rPr>
              <w:t xml:space="preserve"> </w:t>
            </w:r>
            <w:r w:rsidR="00BB3176">
              <w:t>is not used for drinking or other domestic purposes in accordance with</w:t>
            </w:r>
            <w:r w:rsidR="00BB3176" w:rsidRPr="00E5072D">
              <w:t xml:space="preserve"> </w:t>
            </w:r>
            <w:r w:rsidR="00BB3176">
              <w:t xml:space="preserve">RCSA </w:t>
            </w:r>
            <w:r w:rsidR="00BB3176" w:rsidRPr="00E5072D">
              <w:t>Section 22a-133k-3(e)(2)(C).</w:t>
            </w:r>
            <w:r w:rsidR="00BB3176">
              <w:t xml:space="preserve">  </w:t>
            </w:r>
          </w:p>
          <w:p w:rsidR="00BB3176" w:rsidRPr="00D72FB4" w:rsidRDefault="00BB3176" w:rsidP="00F40812">
            <w:pPr>
              <w:pStyle w:val="Style3"/>
            </w:pPr>
          </w:p>
        </w:tc>
      </w:tr>
    </w:tbl>
    <w:p w:rsidR="00BB3176" w:rsidRPr="009F42AC" w:rsidRDefault="00BB3176" w:rsidP="00F40812"/>
    <w:p w:rsidR="00CE181C" w:rsidRPr="00223F2F" w:rsidRDefault="00CE181C" w:rsidP="00F40812"/>
    <w:p w:rsidR="008F3B30" w:rsidRDefault="008F3B30" w:rsidP="00D17C89">
      <w:pPr>
        <w:ind w:left="-90"/>
        <w:rPr>
          <w:color w:val="FF0000"/>
        </w:rPr>
        <w:sectPr w:rsidR="008F3B30" w:rsidSect="005C6586">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4D649B" w:rsidRPr="00850371" w:rsidRDefault="004D649B" w:rsidP="004D649B">
      <w:pPr>
        <w:ind w:left="-90"/>
        <w:jc w:val="center"/>
        <w:rPr>
          <w:rFonts w:cs="Arial"/>
          <w:b/>
          <w:spacing w:val="-2"/>
          <w:sz w:val="28"/>
        </w:rPr>
      </w:pPr>
      <w:r w:rsidRPr="00850371">
        <w:rPr>
          <w:rFonts w:cs="Arial"/>
          <w:b/>
          <w:spacing w:val="-2"/>
          <w:sz w:val="28"/>
        </w:rPr>
        <w:lastRenderedPageBreak/>
        <w:t>Exhibit B</w:t>
      </w:r>
      <w:r w:rsidR="00EB06E8" w:rsidRPr="00850371">
        <w:rPr>
          <w:rFonts w:cs="Arial"/>
          <w:b/>
          <w:spacing w:val="-2"/>
          <w:sz w:val="28"/>
        </w:rPr>
        <w:t xml:space="preserve">. </w:t>
      </w:r>
      <w:r w:rsidRPr="00850371">
        <w:rPr>
          <w:rFonts w:cs="Arial"/>
          <w:b/>
          <w:spacing w:val="-2"/>
          <w:sz w:val="28"/>
        </w:rPr>
        <w:t>Decision Document</w:t>
      </w:r>
    </w:p>
    <w:p w:rsidR="004D649B" w:rsidRPr="00850371" w:rsidRDefault="004D649B" w:rsidP="00F40812">
      <w:pPr>
        <w:rPr>
          <w:b/>
        </w:rPr>
      </w:pPr>
    </w:p>
    <w:p w:rsidR="004D649B" w:rsidRPr="00AE707A" w:rsidRDefault="004D649B" w:rsidP="004D649B">
      <w:pPr>
        <w:jc w:val="center"/>
        <w:rPr>
          <w:rFonts w:cs="Arial"/>
          <w:caps/>
          <w:spacing w:val="-2"/>
        </w:rPr>
      </w:pPr>
      <w:r w:rsidRPr="00850371">
        <w:rPr>
          <w:rFonts w:cs="Arial"/>
          <w:b/>
          <w:i/>
          <w:spacing w:val="-2"/>
          <w:sz w:val="28"/>
          <w:u w:val="single"/>
        </w:rPr>
        <w:t xml:space="preserve">Groundwater </w:t>
      </w:r>
      <w:r w:rsidR="006C5D2A" w:rsidRPr="00850371">
        <w:rPr>
          <w:rFonts w:cs="Arial"/>
          <w:b/>
          <w:i/>
          <w:spacing w:val="-2"/>
          <w:sz w:val="28"/>
          <w:u w:val="single"/>
        </w:rPr>
        <w:t>Us</w:t>
      </w:r>
      <w:r w:rsidRPr="00850371">
        <w:rPr>
          <w:rFonts w:cs="Arial"/>
          <w:b/>
          <w:i/>
          <w:spacing w:val="-2"/>
          <w:sz w:val="28"/>
          <w:u w:val="single"/>
        </w:rPr>
        <w:t>e</w:t>
      </w:r>
      <w:r w:rsidRPr="00850371">
        <w:rPr>
          <w:rFonts w:cs="Arial"/>
          <w:b/>
          <w:i/>
          <w:spacing w:val="-2"/>
          <w:sz w:val="28"/>
        </w:rPr>
        <w:t xml:space="preserve"> Restriction</w:t>
      </w:r>
      <w:r w:rsidRPr="00850371">
        <w:rPr>
          <w:rFonts w:cs="Arial"/>
          <w:b/>
          <w:spacing w:val="-2"/>
          <w:sz w:val="28"/>
        </w:rPr>
        <w:t xml:space="preserve"> Form</w:t>
      </w:r>
      <w:r w:rsidR="00430228" w:rsidRPr="00A738F7">
        <w:rPr>
          <w:rFonts w:cs="Arial"/>
          <w:spacing w:val="-2"/>
          <w:sz w:val="28"/>
        </w:rPr>
        <w:t xml:space="preserve"> </w:t>
      </w:r>
      <w:r w:rsidR="007A20BC" w:rsidRPr="00B84A2A">
        <w:footnoteReference w:customMarkFollows="1" w:id="2"/>
        <w:sym w:font="Wingdings 2" w:char="F0DF"/>
      </w:r>
      <w:r w:rsidR="00F92D9E" w:rsidRPr="00B84A2A">
        <w:t xml:space="preserve"> </w:t>
      </w:r>
    </w:p>
    <w:p w:rsidR="00C53DE6" w:rsidRPr="00AE707A" w:rsidRDefault="00C53DE6" w:rsidP="00F40812"/>
    <w:p w:rsidR="00C53DE6" w:rsidRPr="00012432" w:rsidRDefault="00BB3176" w:rsidP="004D649B">
      <w:pPr>
        <w:jc w:val="center"/>
        <w:rPr>
          <w:rFonts w:cs="Arial"/>
          <w:b/>
          <w:caps/>
          <w:spacing w:val="-2"/>
          <w:sz w:val="24"/>
        </w:rPr>
      </w:pPr>
      <w:r>
        <w:rPr>
          <w:rFonts w:cs="Arial"/>
          <w:b/>
          <w:szCs w:val="20"/>
        </w:rPr>
        <w:t xml:space="preserve">Supplemental </w:t>
      </w:r>
      <w:r w:rsidR="00012432" w:rsidRPr="00012432">
        <w:rPr>
          <w:rFonts w:cs="Arial"/>
          <w:b/>
          <w:szCs w:val="20"/>
        </w:rPr>
        <w:t>Information</w:t>
      </w:r>
    </w:p>
    <w:p w:rsidR="00C53DE6" w:rsidRDefault="00C53DE6" w:rsidP="00F40812"/>
    <w:p w:rsidR="00BB3176" w:rsidRPr="0066510D" w:rsidRDefault="00BB3176" w:rsidP="00BB3176">
      <w:pPr>
        <w:rPr>
          <w:rFonts w:cs="Arial"/>
          <w:b/>
          <w:color w:val="000000"/>
        </w:rPr>
      </w:pPr>
      <w:r>
        <w:rPr>
          <w:rFonts w:cs="Arial"/>
          <w:b/>
          <w:color w:val="000000"/>
        </w:rPr>
        <w:t>I</w:t>
      </w:r>
      <w:r w:rsidRPr="0066510D">
        <w:rPr>
          <w:rFonts w:cs="Arial"/>
          <w:b/>
          <w:color w:val="000000"/>
        </w:rPr>
        <w:t xml:space="preserve">f the </w:t>
      </w:r>
      <w:r>
        <w:rPr>
          <w:rFonts w:cs="Arial"/>
          <w:b/>
          <w:i/>
          <w:color w:val="000000"/>
          <w:u w:val="single"/>
        </w:rPr>
        <w:t xml:space="preserve">Groundwater </w:t>
      </w:r>
      <w:r w:rsidRPr="004E3AC7">
        <w:rPr>
          <w:rFonts w:cs="Arial"/>
          <w:b/>
          <w:i/>
          <w:color w:val="000000"/>
          <w:u w:val="single"/>
        </w:rPr>
        <w:t>Use</w:t>
      </w:r>
      <w:r w:rsidRPr="0066510D">
        <w:rPr>
          <w:rFonts w:cs="Arial"/>
          <w:b/>
          <w:i/>
          <w:color w:val="000000"/>
        </w:rPr>
        <w:t xml:space="preserve"> Restriction</w:t>
      </w:r>
      <w:r w:rsidRPr="0066510D">
        <w:rPr>
          <w:rFonts w:cs="Arial"/>
          <w:b/>
          <w:color w:val="000000"/>
        </w:rPr>
        <w:t xml:space="preserve"> will be applied to only a portion of the Property complete the following:</w:t>
      </w:r>
    </w:p>
    <w:p w:rsidR="00BB3176" w:rsidRPr="00E66B75" w:rsidRDefault="00BB3176" w:rsidP="00BB3176"/>
    <w:p w:rsidR="00BB3176" w:rsidRDefault="00BB3176" w:rsidP="00BB3176">
      <w:pPr>
        <w:pStyle w:val="NoSpacing"/>
        <w:jc w:val="both"/>
        <w:rPr>
          <w:rFonts w:ascii="Arial" w:hAnsi="Arial" w:cs="Arial"/>
          <w:sz w:val="20"/>
        </w:rPr>
      </w:pPr>
      <w:r w:rsidRPr="00223F2F">
        <w:rPr>
          <w:rFonts w:ascii="Arial" w:hAnsi="Arial" w:cs="Arial"/>
          <w:sz w:val="20"/>
        </w:rPr>
        <w:t>Explain</w:t>
      </w:r>
      <w:r>
        <w:rPr>
          <w:rFonts w:ascii="Arial" w:hAnsi="Arial" w:cs="Arial"/>
          <w:sz w:val="20"/>
        </w:rPr>
        <w:t xml:space="preserve"> why the restriction is needed for only a portion of the Property</w:t>
      </w:r>
      <w:r w:rsidRPr="00421EF4">
        <w:rPr>
          <w:rFonts w:ascii="Arial" w:hAnsi="Arial" w:cs="Arial"/>
          <w:color w:val="000000"/>
          <w:sz w:val="20"/>
        </w:rPr>
        <w:t>:</w:t>
      </w:r>
      <w:r>
        <w:rPr>
          <w:rFonts w:ascii="Arial" w:hAnsi="Arial" w:cs="Arial"/>
          <w:sz w:val="20"/>
        </w:rPr>
        <w:t xml:space="preserve"> </w:t>
      </w:r>
      <w:r w:rsidR="00263910" w:rsidRPr="009F1167">
        <w:rPr>
          <w:rFonts w:ascii="Arial" w:hAnsi="Arial" w:cs="Arial"/>
          <w:sz w:val="20"/>
          <w:shd w:val="clear" w:color="auto" w:fill="D9D9D9"/>
        </w:rPr>
        <w:fldChar w:fldCharType="begin">
          <w:ffData>
            <w:name w:val=""/>
            <w:enabled/>
            <w:calcOnExit w:val="0"/>
            <w:textInput/>
          </w:ffData>
        </w:fldChar>
      </w:r>
      <w:r w:rsidRPr="009F1167">
        <w:rPr>
          <w:rFonts w:ascii="Arial" w:hAnsi="Arial" w:cs="Arial"/>
          <w:sz w:val="20"/>
          <w:shd w:val="clear" w:color="auto" w:fill="D9D9D9"/>
        </w:rPr>
        <w:instrText xml:space="preserve"> FORMTEXT </w:instrText>
      </w:r>
      <w:r w:rsidR="00263910" w:rsidRPr="009F1167">
        <w:rPr>
          <w:rFonts w:ascii="Arial" w:hAnsi="Arial" w:cs="Arial"/>
          <w:sz w:val="20"/>
          <w:shd w:val="clear" w:color="auto" w:fill="D9D9D9"/>
        </w:rPr>
      </w:r>
      <w:r w:rsidR="00263910" w:rsidRPr="009F1167">
        <w:rPr>
          <w:rFonts w:ascii="Arial" w:hAnsi="Arial" w:cs="Arial"/>
          <w:sz w:val="20"/>
          <w:shd w:val="clear" w:color="auto" w:fill="D9D9D9"/>
        </w:rPr>
        <w:fldChar w:fldCharType="separate"/>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Pr="009F1167">
        <w:rPr>
          <w:rFonts w:ascii="Arial" w:hAnsi="Arial" w:cs="Arial"/>
          <w:noProof/>
          <w:sz w:val="20"/>
          <w:shd w:val="clear" w:color="auto" w:fill="D9D9D9"/>
        </w:rPr>
        <w:t> </w:t>
      </w:r>
      <w:r w:rsidR="00263910" w:rsidRPr="009F1167">
        <w:rPr>
          <w:rFonts w:ascii="Arial" w:hAnsi="Arial" w:cs="Arial"/>
          <w:sz w:val="20"/>
          <w:shd w:val="clear" w:color="auto" w:fill="D9D9D9"/>
        </w:rPr>
        <w:fldChar w:fldCharType="end"/>
      </w:r>
    </w:p>
    <w:p w:rsidR="00BB3176" w:rsidRDefault="00BB3176" w:rsidP="00BB3176">
      <w:pPr>
        <w:pStyle w:val="NoSpacing"/>
        <w:jc w:val="both"/>
        <w:rPr>
          <w:rFonts w:ascii="Arial" w:hAnsi="Arial" w:cs="Arial"/>
          <w:sz w:val="20"/>
        </w:rPr>
      </w:pPr>
    </w:p>
    <w:p w:rsidR="00BB3176" w:rsidRDefault="00BB3176" w:rsidP="00BB3176">
      <w:pPr>
        <w:pStyle w:val="NoSpacing"/>
        <w:jc w:val="both"/>
        <w:rPr>
          <w:rFonts w:ascii="Arial" w:hAnsi="Arial" w:cs="Arial"/>
          <w:sz w:val="20"/>
          <w:shd w:val="clear" w:color="auto" w:fill="D9D9D9"/>
        </w:rPr>
      </w:pPr>
      <w:r w:rsidRPr="004300CC">
        <w:rPr>
          <w:rFonts w:ascii="Arial" w:hAnsi="Arial" w:cs="Arial"/>
          <w:sz w:val="20"/>
        </w:rPr>
        <w:t>Explain how the portion of the Property (i.e., Subject Area)</w:t>
      </w:r>
      <w:r w:rsidR="00A6208C">
        <w:rPr>
          <w:rFonts w:ascii="Arial" w:hAnsi="Arial" w:cs="Arial"/>
          <w:sz w:val="20"/>
        </w:rPr>
        <w:t>,</w:t>
      </w:r>
      <w:r w:rsidRPr="004300CC">
        <w:rPr>
          <w:rFonts w:ascii="Arial" w:hAnsi="Arial" w:cs="Arial"/>
          <w:sz w:val="20"/>
        </w:rPr>
        <w:t xml:space="preserve"> where groundwater use will be restricted</w:t>
      </w:r>
      <w:r w:rsidR="00A6208C">
        <w:rPr>
          <w:rFonts w:ascii="Arial" w:hAnsi="Arial" w:cs="Arial"/>
          <w:sz w:val="20"/>
        </w:rPr>
        <w:t>,</w:t>
      </w:r>
      <w:r w:rsidRPr="004300CC">
        <w:rPr>
          <w:rFonts w:ascii="Arial" w:hAnsi="Arial" w:cs="Arial"/>
          <w:sz w:val="20"/>
        </w:rPr>
        <w:t xml:space="preserve"> which otherwise would not be restricted on the remainder of the Property, will be located in the field.  For example, “the Subject Area, or groundwater plume, is depicted on the A-2 Survey.  In the event that a well is proposed to be constructed </w:t>
      </w:r>
      <w:r w:rsidR="00D871D5">
        <w:rPr>
          <w:rFonts w:ascii="Arial" w:hAnsi="Arial" w:cs="Arial"/>
          <w:sz w:val="20"/>
        </w:rPr>
        <w:t>outside but in the vicinity of t</w:t>
      </w:r>
      <w:r w:rsidRPr="004300CC">
        <w:rPr>
          <w:rFonts w:ascii="Arial" w:hAnsi="Arial" w:cs="Arial"/>
          <w:sz w:val="20"/>
        </w:rPr>
        <w:t xml:space="preserve">he Subject Area in the future, the existence and location of the groundwater plume will be recognized by the </w:t>
      </w:r>
      <w:r w:rsidR="00A6208C">
        <w:rPr>
          <w:rFonts w:ascii="Arial" w:hAnsi="Arial" w:cs="Arial"/>
          <w:sz w:val="20"/>
        </w:rPr>
        <w:t xml:space="preserve">environmental </w:t>
      </w:r>
      <w:r w:rsidRPr="004300CC">
        <w:rPr>
          <w:rFonts w:ascii="Arial" w:hAnsi="Arial" w:cs="Arial"/>
          <w:sz w:val="20"/>
        </w:rPr>
        <w:t xml:space="preserve">professional during the permitting process.”    </w:t>
      </w:r>
      <w:r w:rsidR="00263910" w:rsidRPr="004300CC">
        <w:rPr>
          <w:rFonts w:ascii="Arial" w:hAnsi="Arial" w:cs="Arial"/>
          <w:sz w:val="20"/>
          <w:shd w:val="clear" w:color="auto" w:fill="D9D9D9"/>
        </w:rPr>
        <w:fldChar w:fldCharType="begin">
          <w:ffData>
            <w:name w:val=""/>
            <w:enabled/>
            <w:calcOnExit w:val="0"/>
            <w:textInput/>
          </w:ffData>
        </w:fldChar>
      </w:r>
      <w:r w:rsidRPr="004300CC">
        <w:rPr>
          <w:rFonts w:ascii="Arial" w:hAnsi="Arial" w:cs="Arial"/>
          <w:sz w:val="20"/>
          <w:shd w:val="clear" w:color="auto" w:fill="D9D9D9"/>
        </w:rPr>
        <w:instrText xml:space="preserve"> FORMTEXT </w:instrText>
      </w:r>
      <w:r w:rsidR="00263910" w:rsidRPr="004300CC">
        <w:rPr>
          <w:rFonts w:ascii="Arial" w:hAnsi="Arial" w:cs="Arial"/>
          <w:sz w:val="20"/>
          <w:shd w:val="clear" w:color="auto" w:fill="D9D9D9"/>
        </w:rPr>
      </w:r>
      <w:r w:rsidR="00263910" w:rsidRPr="004300CC">
        <w:rPr>
          <w:rFonts w:ascii="Arial" w:hAnsi="Arial" w:cs="Arial"/>
          <w:sz w:val="20"/>
          <w:shd w:val="clear" w:color="auto" w:fill="D9D9D9"/>
        </w:rPr>
        <w:fldChar w:fldCharType="separate"/>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Pr="004300CC">
        <w:rPr>
          <w:rFonts w:ascii="Arial" w:hAnsi="Arial" w:cs="Arial"/>
          <w:noProof/>
          <w:sz w:val="20"/>
          <w:shd w:val="clear" w:color="auto" w:fill="D9D9D9"/>
        </w:rPr>
        <w:t> </w:t>
      </w:r>
      <w:r w:rsidR="00263910" w:rsidRPr="004300CC">
        <w:rPr>
          <w:rFonts w:ascii="Arial" w:hAnsi="Arial" w:cs="Arial"/>
          <w:sz w:val="20"/>
          <w:shd w:val="clear" w:color="auto" w:fill="D9D9D9"/>
        </w:rPr>
        <w:fldChar w:fldCharType="end"/>
      </w:r>
    </w:p>
    <w:p w:rsidR="00BB3176" w:rsidRDefault="00BB3176" w:rsidP="00BB3176">
      <w:pPr>
        <w:pStyle w:val="NoSpacing"/>
        <w:jc w:val="both"/>
        <w:rPr>
          <w:rFonts w:ascii="Arial" w:hAnsi="Arial" w:cs="Arial"/>
          <w:sz w:val="20"/>
          <w:shd w:val="clear" w:color="auto" w:fill="D9D9D9"/>
        </w:rPr>
      </w:pPr>
    </w:p>
    <w:p w:rsidR="00BB3176" w:rsidRPr="009F1167" w:rsidRDefault="00BB3176" w:rsidP="00BB3176">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BB3176" w:rsidRPr="0011122F" w:rsidRDefault="00BB3176" w:rsidP="00BB3176">
      <w:pPr>
        <w:rPr>
          <w:rFonts w:cs="Arial"/>
        </w:rPr>
      </w:pPr>
    </w:p>
    <w:p w:rsidR="00BB3176" w:rsidRPr="009F1167" w:rsidRDefault="00BB3176" w:rsidP="00BB3176">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263910"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263910" w:rsidRPr="009F1167">
        <w:rPr>
          <w:rFonts w:cs="Arial"/>
          <w:color w:val="000000"/>
          <w:szCs w:val="20"/>
          <w:shd w:val="clear" w:color="auto" w:fill="D9D9D9"/>
        </w:rPr>
      </w:r>
      <w:r w:rsidR="00263910"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263910" w:rsidRPr="009F1167">
        <w:rPr>
          <w:rFonts w:cs="Arial"/>
          <w:color w:val="000000"/>
          <w:szCs w:val="20"/>
          <w:shd w:val="clear" w:color="auto" w:fill="D9D9D9"/>
        </w:rPr>
        <w:fldChar w:fldCharType="end"/>
      </w:r>
    </w:p>
    <w:p w:rsidR="00BB3176" w:rsidRDefault="00BB3176" w:rsidP="00BB3176">
      <w:pPr>
        <w:rPr>
          <w:rFonts w:cs="Arial"/>
          <w:color w:val="000000"/>
          <w:szCs w:val="20"/>
        </w:rPr>
      </w:pPr>
    </w:p>
    <w:p w:rsidR="00BB3176" w:rsidRDefault="00BB3176" w:rsidP="00BB3176">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263910"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263910" w:rsidRPr="009F1167">
        <w:rPr>
          <w:rFonts w:cs="Arial"/>
          <w:szCs w:val="20"/>
          <w:shd w:val="clear" w:color="auto" w:fill="D9D9D9"/>
        </w:rPr>
      </w:r>
      <w:r w:rsidR="00263910"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263910" w:rsidRPr="009F1167">
        <w:rPr>
          <w:rFonts w:cs="Arial"/>
          <w:szCs w:val="20"/>
          <w:shd w:val="clear" w:color="auto" w:fill="D9D9D9"/>
        </w:rPr>
        <w:fldChar w:fldCharType="end"/>
      </w:r>
    </w:p>
    <w:p w:rsidR="00BB3176" w:rsidRDefault="00BB3176" w:rsidP="00BB3176">
      <w:pPr>
        <w:rPr>
          <w:rFonts w:cs="Arial"/>
          <w:szCs w:val="20"/>
          <w:shd w:val="clear" w:color="auto" w:fill="D9D9D9"/>
        </w:rPr>
      </w:pPr>
    </w:p>
    <w:p w:rsidR="00BB3176" w:rsidRPr="00A164F7" w:rsidRDefault="00BB3176" w:rsidP="00BB3176">
      <w:pPr>
        <w:rPr>
          <w:rFonts w:cs="Arial"/>
          <w:b/>
          <w:color w:val="000000"/>
        </w:rPr>
      </w:pPr>
      <w:r>
        <w:rPr>
          <w:rFonts w:cs="Arial"/>
          <w:b/>
          <w:color w:val="000000"/>
        </w:rPr>
        <w:t xml:space="preserve">If pertinent to the Application, enter additional information below (optional):  </w:t>
      </w:r>
    </w:p>
    <w:p w:rsidR="00BB3176" w:rsidRDefault="00BB3176" w:rsidP="00BB3176">
      <w:pPr>
        <w:rPr>
          <w:rFonts w:cs="Arial"/>
          <w:szCs w:val="20"/>
          <w:shd w:val="clear" w:color="auto" w:fill="D9D9D9"/>
        </w:rPr>
      </w:pPr>
    </w:p>
    <w:p w:rsidR="00BB3176" w:rsidRPr="00D0454F" w:rsidRDefault="00263910" w:rsidP="00BB3176">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BB3176">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BB3176">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BB3176">
        <w:rPr>
          <w:rFonts w:cs="Arial"/>
          <w:color w:val="000000"/>
          <w:szCs w:val="20"/>
          <w:shd w:val="clear" w:color="auto" w:fill="D9D9D9"/>
        </w:rPr>
        <w:t>.</w:t>
      </w:r>
    </w:p>
    <w:p w:rsidR="00BB3176" w:rsidRDefault="00BB3176" w:rsidP="00BB3176">
      <w:pPr>
        <w:rPr>
          <w:rFonts w:cs="Arial"/>
          <w:color w:val="000000"/>
          <w:szCs w:val="20"/>
          <w:shd w:val="clear" w:color="auto" w:fill="D9D9D9"/>
        </w:rPr>
      </w:pPr>
    </w:p>
    <w:p w:rsidR="00BB3176" w:rsidRPr="009F24E1" w:rsidRDefault="00BB3176" w:rsidP="00BB3176">
      <w:pPr>
        <w:numPr>
          <w:ilvl w:val="0"/>
          <w:numId w:val="2"/>
        </w:numPr>
        <w:spacing w:before="120" w:after="120"/>
        <w:ind w:hanging="450"/>
      </w:pPr>
      <w:r w:rsidRPr="009F24E1">
        <w:rPr>
          <w:rFonts w:cs="Arial"/>
        </w:rPr>
        <w:t xml:space="preserve">Insert electronic copy of </w:t>
      </w:r>
      <w:r w:rsidRPr="009F24E1">
        <w:rPr>
          <w:rFonts w:cs="Arial"/>
          <w:spacing w:val="-2"/>
          <w:szCs w:val="20"/>
        </w:rPr>
        <w:t xml:space="preserve">Commissioner’s approval of the </w:t>
      </w:r>
      <w:r w:rsidR="00B44F8C">
        <w:rPr>
          <w:rFonts w:cs="Arial"/>
          <w:spacing w:val="-2"/>
          <w:szCs w:val="20"/>
        </w:rPr>
        <w:t>v</w:t>
      </w:r>
      <w:r w:rsidRPr="009F24E1">
        <w:rPr>
          <w:rFonts w:cs="Arial"/>
          <w:szCs w:val="20"/>
        </w:rPr>
        <w:t>ariance due to Technical Impracticability of Groundwater Remediation</w:t>
      </w:r>
      <w:r w:rsidRPr="009F24E1">
        <w:rPr>
          <w:rFonts w:cs="Arial"/>
        </w:rPr>
        <w:t xml:space="preserve"> below</w:t>
      </w:r>
      <w:r w:rsidR="00A6208C">
        <w:rPr>
          <w:rFonts w:cs="Arial"/>
        </w:rPr>
        <w:t>.</w:t>
      </w:r>
    </w:p>
    <w:p w:rsidR="00BB3176" w:rsidRPr="00066C8E" w:rsidRDefault="00BB3176" w:rsidP="00BB3176">
      <w:pPr>
        <w:numPr>
          <w:ilvl w:val="0"/>
          <w:numId w:val="2"/>
        </w:numPr>
        <w:ind w:hanging="450"/>
      </w:pPr>
      <w:r w:rsidRPr="009F24E1">
        <w:rPr>
          <w:rFonts w:cs="Arial"/>
        </w:rPr>
        <w:t xml:space="preserve">Insert electronic copies of </w:t>
      </w:r>
      <w:r w:rsidR="008F3F33">
        <w:rPr>
          <w:rFonts w:cs="Arial"/>
        </w:rPr>
        <w:t>t</w:t>
      </w:r>
      <w:r w:rsidRPr="009F24E1">
        <w:rPr>
          <w:rFonts w:cs="Arial"/>
        </w:rPr>
        <w:t xml:space="preserve">ables and </w:t>
      </w:r>
      <w:r w:rsidR="008F3F33">
        <w:rPr>
          <w:rFonts w:cs="Arial"/>
        </w:rPr>
        <w:t>f</w:t>
      </w:r>
      <w:r w:rsidRPr="009F24E1">
        <w:rPr>
          <w:rFonts w:cs="Arial"/>
        </w:rPr>
        <w:t>igures below</w:t>
      </w:r>
      <w:r w:rsidR="00A6208C">
        <w:rPr>
          <w:rFonts w:cs="Arial"/>
        </w:rPr>
        <w:t>.</w:t>
      </w:r>
    </w:p>
    <w:p w:rsidR="004F22DC" w:rsidRPr="00223F2F" w:rsidRDefault="004F22DC" w:rsidP="00F40812"/>
    <w:p w:rsidR="00DE337B" w:rsidRDefault="00DE337B" w:rsidP="00F40812"/>
    <w:p w:rsidR="00DE337B" w:rsidRDefault="00DE337B" w:rsidP="00F40812"/>
    <w:p w:rsidR="00DE337B" w:rsidRDefault="00DE337B" w:rsidP="00F40812"/>
    <w:p w:rsidR="00BB3176" w:rsidRDefault="00BB3176" w:rsidP="00F40812"/>
    <w:p w:rsidR="00BB3176" w:rsidRDefault="00BB3176" w:rsidP="00F40812"/>
    <w:p w:rsidR="0011122F" w:rsidRDefault="0011122F" w:rsidP="00F40812"/>
    <w:p w:rsidR="00EC76C7" w:rsidRPr="00B8659D" w:rsidRDefault="00EC76C7" w:rsidP="00107F9D">
      <w:bookmarkStart w:id="2" w:name="_GoBack"/>
      <w:bookmarkEnd w:id="2"/>
    </w:p>
    <w:sectPr w:rsidR="00EC76C7" w:rsidRPr="00B8659D" w:rsidSect="00850FA4">
      <w:headerReference w:type="default" r:id="rId9"/>
      <w:footerReference w:type="default" r:id="rId10"/>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DC" w:rsidRDefault="009B17DC">
      <w:r>
        <w:separator/>
      </w:r>
    </w:p>
  </w:endnote>
  <w:endnote w:type="continuationSeparator" w:id="0">
    <w:p w:rsidR="009B17DC" w:rsidRDefault="009B1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557669" w:rsidRDefault="00551309" w:rsidP="00557669">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DC" w:rsidRDefault="009B17DC">
      <w:r>
        <w:separator/>
      </w:r>
    </w:p>
  </w:footnote>
  <w:footnote w:type="continuationSeparator" w:id="0">
    <w:p w:rsidR="009B17DC" w:rsidRDefault="009B17DC">
      <w:r>
        <w:continuationSeparator/>
      </w:r>
    </w:p>
  </w:footnote>
  <w:footnote w:id="1">
    <w:p w:rsidR="00551309" w:rsidRPr="0026362D" w:rsidRDefault="00551309" w:rsidP="00F544A5">
      <w:pPr>
        <w:pStyle w:val="FootnoteText"/>
        <w:rPr>
          <w:rFonts w:cs="Arial"/>
        </w:rPr>
      </w:pPr>
      <w:r>
        <w:rPr>
          <w:rStyle w:val="FootnoteReference"/>
        </w:rPr>
        <w:footnoteRef/>
      </w:r>
      <w:r>
        <w:t xml:space="preserve"> </w:t>
      </w:r>
      <w:r w:rsidRPr="0026362D">
        <w:rPr>
          <w:rFonts w:cs="Arial"/>
        </w:rPr>
        <w:t>For a complete description of the rationale for the restriction</w:t>
      </w:r>
      <w:r>
        <w:rPr>
          <w:rFonts w:cs="Arial"/>
        </w:rPr>
        <w:t xml:space="preserve">, </w:t>
      </w:r>
      <w:r w:rsidRPr="0026362D">
        <w:rPr>
          <w:rFonts w:cs="Arial"/>
        </w:rPr>
        <w:t xml:space="preserve">see </w:t>
      </w:r>
      <w:r>
        <w:rPr>
          <w:rFonts w:cs="Arial"/>
        </w:rPr>
        <w:t>the r</w:t>
      </w:r>
      <w:r w:rsidRPr="0026362D">
        <w:rPr>
          <w:rFonts w:cs="Arial"/>
        </w:rPr>
        <w:t>eferenced regulatory citation</w:t>
      </w:r>
      <w:r>
        <w:rPr>
          <w:rFonts w:cs="Arial"/>
        </w:rPr>
        <w:t>.</w:t>
      </w:r>
      <w:r w:rsidRPr="0026362D">
        <w:rPr>
          <w:rFonts w:cs="Arial"/>
        </w:rPr>
        <w:t xml:space="preserve"> </w:t>
      </w:r>
    </w:p>
  </w:footnote>
  <w:footnote w:id="2">
    <w:p w:rsidR="00551309" w:rsidRDefault="00551309" w:rsidP="00F40812">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37"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b/>
        </w:rPr>
        <w:t xml:space="preserve"> </w:t>
      </w:r>
      <w:r>
        <w:t xml:space="preserve">This section is </w:t>
      </w:r>
      <w:r w:rsidRPr="00791201">
        <w:t xml:space="preserve">not </w:t>
      </w:r>
      <w:r>
        <w:t xml:space="preserve">locked; insert document(s) as applicable.  </w:t>
      </w:r>
    </w:p>
    <w:p w:rsidR="00551309" w:rsidRPr="00430228" w:rsidRDefault="00551309" w:rsidP="00F408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27D3">
    <w:pPr>
      <w:pStyle w:val="headerdeclaration"/>
    </w:pPr>
    <w:r w:rsidRPr="00F55F48">
      <w:t>Declaration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8tDD50oYO6KRxYxkK+nxRPn+heA=" w:salt="5iLJ34ShbSXaWdvL+9kIcw=="/>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087F"/>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454A"/>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3910"/>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282"/>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86F"/>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669"/>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1E"/>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3CD9"/>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7DC"/>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1DF"/>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CEA"/>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23C3"/>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4547-7DC2-4935-8FF6-F6768E5E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4607</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2013-12-24T14:28:00Z</dcterms:created>
  <dcterms:modified xsi:type="dcterms:W3CDTF">2013-12-24T14:28:00Z</dcterms:modified>
  <cp:contentStatus>Final</cp:contentStatus>
</cp:coreProperties>
</file>