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FFF7E" w14:textId="45487D16" w:rsidR="008B43FA" w:rsidRDefault="008539F4">
      <w:pPr>
        <w:jc w:val="center"/>
        <w:outlineLvl w:val="0"/>
        <w:rPr>
          <w:b/>
          <w:sz w:val="28"/>
          <w:szCs w:val="28"/>
        </w:rPr>
      </w:pPr>
      <w:bookmarkStart w:id="0" w:name="_GoBack"/>
      <w:bookmarkEnd w:id="0"/>
      <w:r>
        <w:rPr>
          <w:b/>
          <w:sz w:val="28"/>
          <w:szCs w:val="28"/>
        </w:rPr>
        <w:t>Activity 6.5.</w:t>
      </w:r>
      <w:r w:rsidR="008E0358">
        <w:rPr>
          <w:b/>
          <w:sz w:val="28"/>
          <w:szCs w:val="28"/>
        </w:rPr>
        <w:t xml:space="preserve">2 </w:t>
      </w:r>
      <w:proofErr w:type="spellStart"/>
      <w:r>
        <w:rPr>
          <w:b/>
          <w:sz w:val="28"/>
          <w:szCs w:val="28"/>
        </w:rPr>
        <w:t>Cavalieri’s</w:t>
      </w:r>
      <w:proofErr w:type="spellEnd"/>
      <w:r>
        <w:rPr>
          <w:b/>
          <w:sz w:val="28"/>
          <w:szCs w:val="28"/>
        </w:rPr>
        <w:t xml:space="preserve"> Principle</w:t>
      </w:r>
      <w:r w:rsidR="008E0358">
        <w:rPr>
          <w:b/>
          <w:sz w:val="28"/>
          <w:szCs w:val="28"/>
        </w:rPr>
        <w:t xml:space="preserve"> </w:t>
      </w:r>
      <w:r>
        <w:rPr>
          <w:b/>
          <w:sz w:val="28"/>
          <w:szCs w:val="28"/>
        </w:rPr>
        <w:t xml:space="preserve">and the Volume of a Sphere </w:t>
      </w:r>
    </w:p>
    <w:p w14:paraId="21396270" w14:textId="77777777" w:rsidR="008B43FA" w:rsidRDefault="008B43FA"/>
    <w:p w14:paraId="3182181D" w14:textId="77777777" w:rsidR="008B43FA" w:rsidRDefault="008539F4">
      <w:r>
        <w:t>This is a more formal development of the formulas for the volume and surface area of a sphere.</w:t>
      </w:r>
    </w:p>
    <w:p w14:paraId="66E3D791" w14:textId="77777777" w:rsidR="008B43FA" w:rsidRDefault="008B43FA"/>
    <w:p w14:paraId="07CDF153" w14:textId="51169B80" w:rsidR="008E0358" w:rsidRDefault="008539F4" w:rsidP="00314DAF">
      <w:r>
        <w:t xml:space="preserve">Consider a hemisphere with radius </w:t>
      </w:r>
      <w:r w:rsidRPr="008539F4">
        <w:rPr>
          <w:i/>
        </w:rPr>
        <w:t>r</w:t>
      </w:r>
      <w:r>
        <w:t xml:space="preserve"> and a cylinder with the same radius and height also equal to </w:t>
      </w:r>
      <w:r w:rsidRPr="008539F4">
        <w:rPr>
          <w:i/>
        </w:rPr>
        <w:t>r</w:t>
      </w:r>
      <w:r>
        <w:t xml:space="preserve">. </w:t>
      </w:r>
      <w:r w:rsidR="00520B49">
        <w:t xml:space="preserve"> Inside the cylinder there is a cone with the same base and height.  The base of the cone coincides with the upper base of the cylinder and the apex lies on the lower base.</w:t>
      </w:r>
      <w:r w:rsidR="00520B49" w:rsidDel="00520B49">
        <w:t xml:space="preserve"> </w:t>
      </w:r>
    </w:p>
    <w:p w14:paraId="02AFAB3D" w14:textId="66210399" w:rsidR="008E0358" w:rsidRDefault="00520B49" w:rsidP="00314DAF">
      <w:r>
        <w:rPr>
          <w:noProof/>
        </w:rPr>
        <w:drawing>
          <wp:inline distT="0" distB="0" distL="0" distR="0" wp14:anchorId="693A58B2" wp14:editId="128A10D0">
            <wp:extent cx="5943600" cy="25158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15810"/>
                    </a:xfrm>
                    <a:prstGeom prst="rect">
                      <a:avLst/>
                    </a:prstGeom>
                    <a:noFill/>
                    <a:ln>
                      <a:noFill/>
                    </a:ln>
                  </pic:spPr>
                </pic:pic>
              </a:graphicData>
            </a:graphic>
          </wp:inline>
        </w:drawing>
      </w:r>
    </w:p>
    <w:p w14:paraId="5B7A9B40" w14:textId="1001D089" w:rsidR="00314DAF" w:rsidRPr="007819FB" w:rsidRDefault="007819FB" w:rsidP="007819FB">
      <w:pPr>
        <w:jc w:val="right"/>
        <w:rPr>
          <w:sz w:val="20"/>
          <w:szCs w:val="20"/>
        </w:rPr>
      </w:pPr>
      <w:r w:rsidRPr="007819FB">
        <w:rPr>
          <w:sz w:val="20"/>
          <w:szCs w:val="20"/>
        </w:rPr>
        <w:t>images from easingthehurrysyndrome.wordpress.com/tag/volume-of-a-sphere/</w:t>
      </w:r>
    </w:p>
    <w:p w14:paraId="5ADE579B" w14:textId="77777777" w:rsidR="007819FB" w:rsidRDefault="007819FB" w:rsidP="00E95CD5"/>
    <w:p w14:paraId="421965B1" w14:textId="6058E047" w:rsidR="00E95CD5" w:rsidRDefault="00E95CD5" w:rsidP="00E95CD5">
      <w:r>
        <w:t xml:space="preserve">1.  </w:t>
      </w:r>
      <w:r w:rsidR="00520B49">
        <w:t xml:space="preserve">Pass a plane </w:t>
      </w:r>
      <w:r w:rsidR="00314DAF">
        <w:t xml:space="preserve">parallel to the bases </w:t>
      </w:r>
      <w:r w:rsidR="00520B49">
        <w:t xml:space="preserve">intersecting the </w:t>
      </w:r>
      <w:r w:rsidR="001B4575">
        <w:t>hemi</w:t>
      </w:r>
      <w:r w:rsidR="00520B49">
        <w:t>sphere, cylinder, and cone.</w:t>
      </w:r>
      <w:r w:rsidR="00314DAF">
        <w:t xml:space="preserve">  The GeoGebra file ctcoregeomACT652 shows a vertical cross section of the situation above.</w:t>
      </w:r>
    </w:p>
    <w:p w14:paraId="13132CC9" w14:textId="0E557AFA" w:rsidR="00E95CD5" w:rsidRDefault="00E95CD5" w:rsidP="00910B5D">
      <w:pPr>
        <w:ind w:left="1080"/>
      </w:pPr>
      <w:r>
        <w:br/>
      </w:r>
      <w:r w:rsidR="00910B5D">
        <w:rPr>
          <w:noProof/>
        </w:rPr>
        <w:drawing>
          <wp:anchor distT="0" distB="0" distL="114300" distR="114300" simplePos="0" relativeHeight="251663360" behindDoc="0" locked="0" layoutInCell="1" allowOverlap="1" wp14:anchorId="2EAA372B" wp14:editId="6FCF682E">
            <wp:simplePos x="0" y="0"/>
            <wp:positionH relativeFrom="column">
              <wp:posOffset>0</wp:posOffset>
            </wp:positionH>
            <wp:positionV relativeFrom="paragraph">
              <wp:posOffset>173990</wp:posOffset>
            </wp:positionV>
            <wp:extent cx="5943600" cy="19824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9824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a.  The diagram above is a screen shot from the GeoGebra file.  The slid</w:t>
      </w:r>
      <w:r w:rsidR="002F254A">
        <w:t xml:space="preserve">er controls the distance, </w:t>
      </w:r>
      <w:r w:rsidR="00910B5D">
        <w:rPr>
          <w:i/>
        </w:rPr>
        <w:t>a</w:t>
      </w:r>
      <w:r>
        <w:t xml:space="preserve">, </w:t>
      </w:r>
      <w:r w:rsidR="002F254A">
        <w:t>from a horizontal plane slicing the solids to</w:t>
      </w:r>
      <w:r>
        <w:t xml:space="preserve"> the plane on which the solids lie.  As </w:t>
      </w:r>
      <w:r w:rsidR="00910B5D" w:rsidRPr="00910B5D">
        <w:rPr>
          <w:i/>
        </w:rPr>
        <w:t>a</w:t>
      </w:r>
      <w:r w:rsidR="00910B5D">
        <w:t xml:space="preserve"> i</w:t>
      </w:r>
      <w:r>
        <w:t xml:space="preserve">ncreases what happens to the value of </w:t>
      </w:r>
      <w:r w:rsidR="00910B5D">
        <w:rPr>
          <w:i/>
        </w:rPr>
        <w:t>b</w:t>
      </w:r>
      <w:r>
        <w:t>?</w:t>
      </w:r>
      <w:r>
        <w:br/>
      </w:r>
    </w:p>
    <w:p w14:paraId="61A9C38E" w14:textId="5F64CC60" w:rsidR="00E95CD5" w:rsidRDefault="00E95CD5" w:rsidP="00E95CD5">
      <w:pPr>
        <w:ind w:left="1080"/>
      </w:pPr>
      <w:r>
        <w:t xml:space="preserve">b.  As </w:t>
      </w:r>
      <w:r w:rsidR="00910B5D">
        <w:rPr>
          <w:i/>
        </w:rPr>
        <w:t xml:space="preserve">a </w:t>
      </w:r>
      <w:r>
        <w:t xml:space="preserve">increases, what happens to the value of </w:t>
      </w:r>
      <w:r w:rsidR="00910B5D">
        <w:rPr>
          <w:i/>
        </w:rPr>
        <w:t>c</w:t>
      </w:r>
      <w:r>
        <w:t>?</w:t>
      </w:r>
      <w:r>
        <w:br/>
      </w:r>
    </w:p>
    <w:p w14:paraId="48C002B1" w14:textId="040B8948" w:rsidR="00E95CD5" w:rsidRDefault="00E95CD5" w:rsidP="00E95CD5">
      <w:pPr>
        <w:ind w:left="1080"/>
      </w:pPr>
      <w:r>
        <w:t xml:space="preserve">c.  For which of the three solids (sphere, cylinder, or cone) does the area of the cross section stay the same as the slider changes the value of </w:t>
      </w:r>
      <w:r w:rsidR="00910B5D">
        <w:rPr>
          <w:i/>
        </w:rPr>
        <w:t>a</w:t>
      </w:r>
      <w:r>
        <w:t>?</w:t>
      </w:r>
    </w:p>
    <w:p w14:paraId="2F4EE6D3" w14:textId="7B90F0F2" w:rsidR="008E0358" w:rsidRDefault="00E95CD5" w:rsidP="00314DAF">
      <w:r>
        <w:lastRenderedPageBreak/>
        <w:t xml:space="preserve">2. Now scroll down in the GeoGebra file to observe the </w:t>
      </w:r>
      <w:r w:rsidR="007819FB">
        <w:t xml:space="preserve">horizontal </w:t>
      </w:r>
      <w:r>
        <w:t>cross sections of the two figures.</w:t>
      </w:r>
    </w:p>
    <w:p w14:paraId="01669FB2" w14:textId="46310DCA" w:rsidR="008B43FA" w:rsidRDefault="008B43FA" w:rsidP="00E95CD5"/>
    <w:p w14:paraId="2F76E1D4" w14:textId="26B70EA8" w:rsidR="008B43FA" w:rsidRDefault="00454122">
      <w:r>
        <w:rPr>
          <w:noProof/>
        </w:rPr>
        <w:drawing>
          <wp:anchor distT="0" distB="0" distL="114300" distR="114300" simplePos="0" relativeHeight="251660288" behindDoc="0" locked="0" layoutInCell="1" allowOverlap="1" wp14:anchorId="0AB4DE25" wp14:editId="164C32B8">
            <wp:simplePos x="0" y="0"/>
            <wp:positionH relativeFrom="column">
              <wp:posOffset>0</wp:posOffset>
            </wp:positionH>
            <wp:positionV relativeFrom="paragraph">
              <wp:posOffset>635</wp:posOffset>
            </wp:positionV>
            <wp:extent cx="5943600" cy="25241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5241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4BC1230" w14:textId="77777777" w:rsidR="00E95CD5" w:rsidRDefault="00E95CD5"/>
    <w:p w14:paraId="3E126DFA" w14:textId="31BEAE27" w:rsidR="00E95CD5" w:rsidRDefault="00454122" w:rsidP="00454122">
      <w:pPr>
        <w:pStyle w:val="ListParagraph"/>
        <w:numPr>
          <w:ilvl w:val="0"/>
          <w:numId w:val="4"/>
        </w:numPr>
      </w:pPr>
      <w:r>
        <w:t xml:space="preserve">As the slider increases the value of </w:t>
      </w:r>
      <w:r w:rsidR="00910B5D">
        <w:rPr>
          <w:i/>
        </w:rPr>
        <w:t>a</w:t>
      </w:r>
      <w:r>
        <w:t xml:space="preserve">, what happens to the area of the cross section of the </w:t>
      </w:r>
      <w:r w:rsidR="001B4575">
        <w:t>hemi</w:t>
      </w:r>
      <w:r>
        <w:t>sphere</w:t>
      </w:r>
      <w:r w:rsidR="00910B5D">
        <w:t xml:space="preserve"> (on the left)</w:t>
      </w:r>
      <w:r>
        <w:t>?</w:t>
      </w:r>
      <w:r>
        <w:br/>
      </w:r>
      <w:r>
        <w:br/>
      </w:r>
      <w:r w:rsidR="007819FB">
        <w:br/>
      </w:r>
    </w:p>
    <w:p w14:paraId="0ADCC86C" w14:textId="00ABD7B9" w:rsidR="00910B5D" w:rsidRDefault="00454122" w:rsidP="00454122">
      <w:pPr>
        <w:pStyle w:val="ListParagraph"/>
        <w:numPr>
          <w:ilvl w:val="0"/>
          <w:numId w:val="4"/>
        </w:numPr>
      </w:pPr>
      <w:r>
        <w:t xml:space="preserve">What happens </w:t>
      </w:r>
      <w:r w:rsidR="00910B5D">
        <w:t>the area of the inner circle on the right?</w:t>
      </w:r>
      <w:r w:rsidR="00910B5D">
        <w:br/>
      </w:r>
      <w:r w:rsidR="00910B5D">
        <w:br/>
      </w:r>
      <w:r w:rsidR="007819FB">
        <w:br/>
      </w:r>
    </w:p>
    <w:p w14:paraId="7EAAE346" w14:textId="065B38F8" w:rsidR="00454122" w:rsidRDefault="007819FB" w:rsidP="00454122">
      <w:pPr>
        <w:pStyle w:val="ListParagraph"/>
        <w:numPr>
          <w:ilvl w:val="0"/>
          <w:numId w:val="4"/>
        </w:numPr>
      </w:pPr>
      <w:r>
        <w:t>What happ</w:t>
      </w:r>
      <w:r w:rsidR="00910B5D">
        <w:t xml:space="preserve">ens </w:t>
      </w:r>
      <w:r w:rsidR="00454122">
        <w:t>to the area between the two circles on the right (the annulus or “washer”)?</w:t>
      </w:r>
      <w:r w:rsidR="00454122">
        <w:br/>
      </w:r>
      <w:r w:rsidR="00454122">
        <w:br/>
      </w:r>
    </w:p>
    <w:p w14:paraId="5B7F93F8" w14:textId="77777777" w:rsidR="007819FB" w:rsidRDefault="007819FB" w:rsidP="007819FB"/>
    <w:p w14:paraId="1B383E95" w14:textId="5C346022" w:rsidR="008B43FA" w:rsidRDefault="00400838" w:rsidP="00400838">
      <w:r>
        <w:t xml:space="preserve">3.  </w:t>
      </w:r>
      <w:r w:rsidR="00454122">
        <w:t>W</w:t>
      </w:r>
      <w:r w:rsidR="008539F4">
        <w:t xml:space="preserve">e will </w:t>
      </w:r>
      <w:r>
        <w:t>use t</w:t>
      </w:r>
      <w:r w:rsidR="0011169B">
        <w:t xml:space="preserve">he </w:t>
      </w:r>
      <w:r>
        <w:t xml:space="preserve">diagram </w:t>
      </w:r>
      <w:r w:rsidR="0011169B">
        <w:t xml:space="preserve">at the top of the next page </w:t>
      </w:r>
      <w:r>
        <w:t xml:space="preserve">to </w:t>
      </w:r>
      <w:r w:rsidR="008539F4">
        <w:t xml:space="preserve">prove that the </w:t>
      </w:r>
      <w:r w:rsidR="00910B5D">
        <w:t>a</w:t>
      </w:r>
      <w:r w:rsidR="001B4575">
        <w:t>rea of the cross section of the hemi</w:t>
      </w:r>
      <w:r w:rsidR="00910B5D">
        <w:t>sphere is equal to the area of the annulus.</w:t>
      </w:r>
      <w:r w:rsidR="008539F4">
        <w:t xml:space="preserve"> </w:t>
      </w:r>
    </w:p>
    <w:p w14:paraId="3533D1A6" w14:textId="77777777" w:rsidR="0011169B" w:rsidRDefault="0011169B" w:rsidP="00400838"/>
    <w:p w14:paraId="6B711FC6" w14:textId="1C4EFEC2" w:rsidR="008B43FA" w:rsidRDefault="0011169B" w:rsidP="0011169B">
      <w:r>
        <w:rPr>
          <w:noProof/>
        </w:rPr>
        <w:lastRenderedPageBreak/>
        <w:drawing>
          <wp:anchor distT="0" distB="0" distL="114300" distR="114300" simplePos="0" relativeHeight="251662336" behindDoc="0" locked="0" layoutInCell="1" allowOverlap="1" wp14:anchorId="14337573" wp14:editId="25001AB5">
            <wp:simplePos x="0" y="0"/>
            <wp:positionH relativeFrom="column">
              <wp:posOffset>228600</wp:posOffset>
            </wp:positionH>
            <wp:positionV relativeFrom="paragraph">
              <wp:posOffset>104140</wp:posOffset>
            </wp:positionV>
            <wp:extent cx="5486400" cy="2630805"/>
            <wp:effectExtent l="0" t="0" r="0" b="1079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486400" cy="2630805"/>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DC7CA04" w14:textId="3A74FDD2" w:rsidR="0011169B" w:rsidRDefault="0011169B" w:rsidP="0011169B">
      <w:pPr>
        <w:pStyle w:val="ListParagraph"/>
        <w:numPr>
          <w:ilvl w:val="2"/>
          <w:numId w:val="1"/>
        </w:numPr>
        <w:ind w:left="1260"/>
      </w:pPr>
      <w:r>
        <w:t xml:space="preserve">In the diagram we see that </w:t>
      </w:r>
      <w:r w:rsidRPr="00314DAF">
        <w:rPr>
          <w:i/>
        </w:rPr>
        <w:t>a</w:t>
      </w:r>
      <w:r>
        <w:rPr>
          <w:vertAlign w:val="superscript"/>
        </w:rPr>
        <w:t>2</w:t>
      </w:r>
      <w:r>
        <w:t xml:space="preserve"> + </w:t>
      </w:r>
      <w:r w:rsidRPr="00314DAF">
        <w:rPr>
          <w:i/>
        </w:rPr>
        <w:t>b</w:t>
      </w:r>
      <w:r>
        <w:rPr>
          <w:vertAlign w:val="superscript"/>
        </w:rPr>
        <w:t>2</w:t>
      </w:r>
      <w:r>
        <w:t xml:space="preserve"> =</w:t>
      </w:r>
      <w:r w:rsidRPr="00314DAF">
        <w:rPr>
          <w:i/>
        </w:rPr>
        <w:t xml:space="preserve"> r</w:t>
      </w:r>
      <w:r w:rsidRPr="00314DAF">
        <w:rPr>
          <w:i/>
          <w:vertAlign w:val="superscript"/>
        </w:rPr>
        <w:t>2</w:t>
      </w:r>
      <w:r>
        <w:t>.   Why?</w:t>
      </w:r>
      <w:r>
        <w:br/>
      </w:r>
      <w:r>
        <w:br/>
      </w:r>
    </w:p>
    <w:p w14:paraId="6DDCDA4D" w14:textId="587ACC2C" w:rsidR="008B43FA" w:rsidRDefault="008539F4" w:rsidP="0011169B">
      <w:pPr>
        <w:pStyle w:val="ListParagraph"/>
        <w:numPr>
          <w:ilvl w:val="2"/>
          <w:numId w:val="1"/>
        </w:numPr>
        <w:ind w:left="1260"/>
      </w:pPr>
      <w:r>
        <w:t>We notice also that ∆</w:t>
      </w:r>
      <w:r w:rsidRPr="00314DAF">
        <w:rPr>
          <w:i/>
        </w:rPr>
        <w:t>D</w:t>
      </w:r>
      <w:r w:rsidR="00910B5D">
        <w:rPr>
          <w:i/>
        </w:rPr>
        <w:t>C</w:t>
      </w:r>
      <w:r w:rsidRPr="00314DAF">
        <w:rPr>
          <w:i/>
        </w:rPr>
        <w:t>B</w:t>
      </w:r>
      <w:r>
        <w:t xml:space="preserve"> is an isosceles triang</w:t>
      </w:r>
      <w:r w:rsidR="0011169B">
        <w:t>le Why?</w:t>
      </w:r>
    </w:p>
    <w:p w14:paraId="4CAFA10D" w14:textId="77777777" w:rsidR="008B43FA" w:rsidRDefault="008B43FA" w:rsidP="0011169B">
      <w:pPr>
        <w:pStyle w:val="ListParagraph"/>
        <w:ind w:left="1260"/>
      </w:pPr>
    </w:p>
    <w:p w14:paraId="4333F3DD" w14:textId="77777777" w:rsidR="0011169B" w:rsidRDefault="0011169B" w:rsidP="0011169B">
      <w:pPr>
        <w:pStyle w:val="ListParagraph"/>
        <w:ind w:left="1260"/>
      </w:pPr>
    </w:p>
    <w:p w14:paraId="08C24AEA" w14:textId="3318B159" w:rsidR="008B43FA" w:rsidRDefault="008539F4" w:rsidP="0011169B">
      <w:pPr>
        <w:pStyle w:val="ListParagraph"/>
        <w:numPr>
          <w:ilvl w:val="2"/>
          <w:numId w:val="1"/>
        </w:numPr>
        <w:ind w:left="1260"/>
      </w:pPr>
      <w:r>
        <w:t xml:space="preserve">We also notice that triangle </w:t>
      </w:r>
      <w:r w:rsidRPr="00314DAF">
        <w:rPr>
          <w:i/>
        </w:rPr>
        <w:t>EFB</w:t>
      </w:r>
      <w:r>
        <w:t xml:space="preserve"> is similar to ∆ </w:t>
      </w:r>
      <w:r w:rsidRPr="00314DAF">
        <w:rPr>
          <w:i/>
        </w:rPr>
        <w:t>DCB.</w:t>
      </w:r>
      <w:r>
        <w:t xml:space="preserve"> Why</w:t>
      </w:r>
      <w:r w:rsidR="0011169B">
        <w:t>?</w:t>
      </w:r>
      <w:r w:rsidR="0011169B">
        <w:br/>
      </w:r>
    </w:p>
    <w:p w14:paraId="20C0A8A9" w14:textId="77777777" w:rsidR="008B43FA" w:rsidRDefault="008B43FA" w:rsidP="0011169B">
      <w:pPr>
        <w:pStyle w:val="ListParagraph"/>
        <w:ind w:left="1260"/>
      </w:pPr>
    </w:p>
    <w:p w14:paraId="1A1310F9" w14:textId="5F5B3114" w:rsidR="008B43FA" w:rsidRDefault="008539F4" w:rsidP="0011169B">
      <w:pPr>
        <w:pStyle w:val="ListParagraph"/>
        <w:numPr>
          <w:ilvl w:val="2"/>
          <w:numId w:val="1"/>
        </w:numPr>
        <w:ind w:left="1260"/>
      </w:pPr>
      <w:r>
        <w:t xml:space="preserve">This leads us to conclude that since </w:t>
      </w:r>
      <w:r w:rsidRPr="00314DAF">
        <w:rPr>
          <w:i/>
        </w:rPr>
        <w:t>DB</w:t>
      </w:r>
      <w:r>
        <w:t>=</w:t>
      </w:r>
      <w:r w:rsidRPr="00314DAF">
        <w:rPr>
          <w:i/>
        </w:rPr>
        <w:t>DC</w:t>
      </w:r>
      <w:r>
        <w:t>,</w:t>
      </w:r>
      <w:r w:rsidRPr="00314DAF">
        <w:rPr>
          <w:i/>
        </w:rPr>
        <w:t xml:space="preserve"> a</w:t>
      </w:r>
      <w:r>
        <w:t>=</w:t>
      </w:r>
      <w:r w:rsidRPr="00314DAF">
        <w:rPr>
          <w:i/>
        </w:rPr>
        <w:t>c</w:t>
      </w:r>
      <w:r>
        <w:t>. Why?</w:t>
      </w:r>
      <w:r w:rsidR="0011169B">
        <w:br/>
      </w:r>
      <w:r w:rsidR="0011169B">
        <w:br/>
      </w:r>
    </w:p>
    <w:p w14:paraId="687ECF0F" w14:textId="77777777" w:rsidR="008B43FA" w:rsidRDefault="008B43FA" w:rsidP="0011169B">
      <w:pPr>
        <w:pStyle w:val="ListParagraph"/>
        <w:ind w:left="1260"/>
      </w:pPr>
    </w:p>
    <w:p w14:paraId="7B37E458" w14:textId="77777777" w:rsidR="007819FB" w:rsidRDefault="007819FB" w:rsidP="0011169B">
      <w:pPr>
        <w:pStyle w:val="ListParagraph"/>
        <w:numPr>
          <w:ilvl w:val="2"/>
          <w:numId w:val="1"/>
        </w:numPr>
        <w:ind w:left="1260"/>
      </w:pPr>
      <w:r w:rsidRPr="007819FB">
        <w:t>Use the results in (a) and (d) to show that</w:t>
      </w:r>
      <w:r>
        <w:rPr>
          <w:i/>
        </w:rPr>
        <w:t xml:space="preserve"> </w:t>
      </w:r>
      <w:r w:rsidR="008539F4" w:rsidRPr="00314DAF">
        <w:rPr>
          <w:i/>
        </w:rPr>
        <w:t>b</w:t>
      </w:r>
      <w:r w:rsidR="008539F4">
        <w:rPr>
          <w:vertAlign w:val="superscript"/>
        </w:rPr>
        <w:t>2</w:t>
      </w:r>
      <w:r w:rsidR="008539F4">
        <w:t xml:space="preserve">= </w:t>
      </w:r>
      <w:r w:rsidR="008539F4" w:rsidRPr="00314DAF">
        <w:rPr>
          <w:i/>
        </w:rPr>
        <w:t>r</w:t>
      </w:r>
      <w:r w:rsidR="008539F4">
        <w:rPr>
          <w:vertAlign w:val="superscript"/>
        </w:rPr>
        <w:t>2</w:t>
      </w:r>
      <w:r w:rsidR="008539F4">
        <w:t xml:space="preserve"> - </w:t>
      </w:r>
      <w:r w:rsidR="008539F4" w:rsidRPr="00314DAF">
        <w:rPr>
          <w:i/>
        </w:rPr>
        <w:t>c</w:t>
      </w:r>
      <w:r w:rsidR="008539F4">
        <w:rPr>
          <w:vertAlign w:val="superscript"/>
        </w:rPr>
        <w:t>2</w:t>
      </w:r>
      <w:r w:rsidR="008539F4">
        <w:t xml:space="preserve">. </w:t>
      </w:r>
    </w:p>
    <w:p w14:paraId="72C216C3" w14:textId="77777777" w:rsidR="007819FB" w:rsidRDefault="007819FB" w:rsidP="007819FB"/>
    <w:p w14:paraId="63DA71E6" w14:textId="6A0A8C8B" w:rsidR="008B43FA" w:rsidRDefault="007819FB" w:rsidP="001B4575">
      <w:pPr>
        <w:pStyle w:val="ListParagraph"/>
        <w:numPr>
          <w:ilvl w:val="2"/>
          <w:numId w:val="1"/>
        </w:numPr>
        <w:spacing w:line="360" w:lineRule="auto"/>
        <w:ind w:left="1260"/>
      </w:pPr>
      <w:r>
        <w:t>Multiply both sides of the equation in (e) to get</w:t>
      </w:r>
      <w:r w:rsidR="008539F4">
        <w:t xml:space="preserve"> </w:t>
      </w:r>
      <w:r w:rsidR="008539F4">
        <w:rPr>
          <w:rFonts w:ascii="Symbol" w:hAnsi="Symbol"/>
        </w:rPr>
        <w:t></w:t>
      </w:r>
      <w:r w:rsidR="008539F4">
        <w:t xml:space="preserve"> </w:t>
      </w:r>
      <w:r w:rsidR="008539F4" w:rsidRPr="00314DAF">
        <w:rPr>
          <w:i/>
        </w:rPr>
        <w:t>b</w:t>
      </w:r>
      <w:r w:rsidR="008539F4">
        <w:rPr>
          <w:vertAlign w:val="superscript"/>
        </w:rPr>
        <w:t>2</w:t>
      </w:r>
      <w:r w:rsidR="008539F4">
        <w:t xml:space="preserve">= </w:t>
      </w:r>
      <w:r w:rsidR="008539F4">
        <w:rPr>
          <w:rFonts w:ascii="Symbol" w:hAnsi="Symbol"/>
        </w:rPr>
        <w:t></w:t>
      </w:r>
      <w:r w:rsidR="008539F4" w:rsidRPr="00314DAF">
        <w:rPr>
          <w:i/>
        </w:rPr>
        <w:t>r</w:t>
      </w:r>
      <w:r w:rsidR="008539F4">
        <w:rPr>
          <w:vertAlign w:val="superscript"/>
        </w:rPr>
        <w:t>2</w:t>
      </w:r>
      <w:r w:rsidR="008539F4">
        <w:t xml:space="preserve"> - </w:t>
      </w:r>
      <w:r w:rsidR="008539F4">
        <w:rPr>
          <w:rFonts w:ascii="Symbol" w:hAnsi="Symbol"/>
        </w:rPr>
        <w:t></w:t>
      </w:r>
      <w:r w:rsidR="008539F4" w:rsidRPr="00314DAF">
        <w:rPr>
          <w:i/>
        </w:rPr>
        <w:t>c</w:t>
      </w:r>
      <w:r w:rsidR="008539F4">
        <w:rPr>
          <w:vertAlign w:val="superscript"/>
        </w:rPr>
        <w:t>2</w:t>
      </w:r>
      <w:r w:rsidR="008539F4">
        <w:t>.</w:t>
      </w:r>
      <w:r>
        <w:t xml:space="preserve">  This means that the cross-sectional area of the __________ is equal to t</w:t>
      </w:r>
      <w:r w:rsidR="001B4575">
        <w:t xml:space="preserve">he cross-sectional area of </w:t>
      </w:r>
      <w:r>
        <w:t>the ____________ minus the cross-sectional area of the __________________.</w:t>
      </w:r>
    </w:p>
    <w:p w14:paraId="4E5083A2" w14:textId="77777777" w:rsidR="008B43FA" w:rsidRDefault="008B43FA" w:rsidP="001B4575"/>
    <w:p w14:paraId="17E4B05A" w14:textId="335C26DC" w:rsidR="008B43FA" w:rsidRDefault="001B4575" w:rsidP="0098541E">
      <w:pPr>
        <w:pStyle w:val="ListParagraph"/>
        <w:numPr>
          <w:ilvl w:val="2"/>
          <w:numId w:val="1"/>
        </w:numPr>
        <w:ind w:left="1260"/>
      </w:pPr>
      <w:r>
        <w:t xml:space="preserve">Applying </w:t>
      </w:r>
      <w:proofErr w:type="spellStart"/>
      <w:r>
        <w:t>Cavalieri’s</w:t>
      </w:r>
      <w:proofErr w:type="spellEnd"/>
      <w:r>
        <w:t xml:space="preserve"> principle, what can we now conclude?</w:t>
      </w:r>
      <w:r w:rsidR="005B2648">
        <w:t xml:space="preserve">  State this as a theorem.</w:t>
      </w:r>
    </w:p>
    <w:p w14:paraId="1BB7FC01" w14:textId="77777777" w:rsidR="001B4575" w:rsidRDefault="001B4575" w:rsidP="001B4575"/>
    <w:p w14:paraId="39FBF9FC" w14:textId="77777777" w:rsidR="001B4575" w:rsidRDefault="001B4575" w:rsidP="001B4575"/>
    <w:p w14:paraId="11B9BB10" w14:textId="77777777" w:rsidR="001B4575" w:rsidRDefault="001B4575" w:rsidP="001B4575"/>
    <w:p w14:paraId="1D49FFC0" w14:textId="77777777" w:rsidR="001B4575" w:rsidRDefault="001B4575" w:rsidP="001B4575"/>
    <w:p w14:paraId="0580D1C4" w14:textId="07BE452F" w:rsidR="001B4575" w:rsidRDefault="001B4575" w:rsidP="0098541E">
      <w:pPr>
        <w:pStyle w:val="ListParagraph"/>
        <w:numPr>
          <w:ilvl w:val="2"/>
          <w:numId w:val="1"/>
        </w:numPr>
        <w:ind w:left="1260"/>
      </w:pPr>
      <w:r>
        <w:t>Write expressions for the volume of the hemisphere and for the volume of the sphere.</w:t>
      </w:r>
    </w:p>
    <w:p w14:paraId="3B4E378D" w14:textId="77777777" w:rsidR="008B43FA" w:rsidRDefault="008B43FA"/>
    <w:p w14:paraId="42B5E14F" w14:textId="77777777" w:rsidR="008B43FA" w:rsidRDefault="008B43FA">
      <w:pPr>
        <w:pStyle w:val="ListParagraph"/>
        <w:ind w:left="2340"/>
      </w:pPr>
    </w:p>
    <w:p w14:paraId="40EAFAC5" w14:textId="77777777" w:rsidR="001B4575" w:rsidRDefault="001B4575" w:rsidP="001B4575"/>
    <w:p w14:paraId="53134F0C" w14:textId="0C2F048E" w:rsidR="00042611" w:rsidRPr="00042611" w:rsidRDefault="0098541E">
      <w:pPr>
        <w:rPr>
          <w:b/>
        </w:rPr>
      </w:pPr>
      <w:r>
        <w:t xml:space="preserve">4.  </w:t>
      </w:r>
      <w:r w:rsidR="001B4575">
        <w:rPr>
          <w:b/>
          <w:vertAlign w:val="superscript"/>
        </w:rPr>
        <w:t xml:space="preserve"> </w:t>
      </w:r>
      <w:r w:rsidR="00042611" w:rsidRPr="00042611">
        <w:t>What about the surface area of the sphere?</w:t>
      </w:r>
      <w:r w:rsidR="00042611">
        <w:rPr>
          <w:b/>
        </w:rPr>
        <w:t xml:space="preserve"> </w:t>
      </w:r>
      <w:r w:rsidR="00042611" w:rsidRPr="00042611">
        <w:t xml:space="preserve">Let </w:t>
      </w:r>
      <w:r w:rsidR="00042611" w:rsidRPr="00042611">
        <w:rPr>
          <w:i/>
        </w:rPr>
        <w:t>S</w:t>
      </w:r>
      <w:r w:rsidR="00042611" w:rsidRPr="00042611">
        <w:t xml:space="preserve"> represent the surface area.</w:t>
      </w:r>
    </w:p>
    <w:p w14:paraId="0AB1923E" w14:textId="77777777" w:rsidR="00042611" w:rsidRDefault="00042611">
      <w:pPr>
        <w:rPr>
          <w:b/>
        </w:rPr>
      </w:pPr>
    </w:p>
    <w:p w14:paraId="59D910E3" w14:textId="69A21E96" w:rsidR="008B43FA" w:rsidRDefault="00042611">
      <w:r>
        <w:t xml:space="preserve">As we did in </w:t>
      </w:r>
      <w:r w:rsidR="008539F4">
        <w:t>Activity 6.</w:t>
      </w:r>
      <w:r>
        <w:t>5</w:t>
      </w:r>
      <w:r w:rsidR="008539F4">
        <w:t>.1</w:t>
      </w:r>
      <w:r>
        <w:t>,</w:t>
      </w:r>
      <w:r w:rsidR="008539F4">
        <w:t xml:space="preserve"> imagine the sphere to be made of </w:t>
      </w:r>
      <w:r w:rsidR="008539F4" w:rsidRPr="00042611">
        <w:rPr>
          <w:i/>
        </w:rPr>
        <w:t>n</w:t>
      </w:r>
      <w:r w:rsidR="008539F4">
        <w:t xml:space="preserve"> very small cones that have a height of </w:t>
      </w:r>
      <w:r w:rsidR="008539F4" w:rsidRPr="00042611">
        <w:rPr>
          <w:i/>
        </w:rPr>
        <w:t xml:space="preserve">r </w:t>
      </w:r>
      <w:r>
        <w:t xml:space="preserve">and a base of </w:t>
      </w:r>
      <m:oMath>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S</m:t>
        </m:r>
      </m:oMath>
      <w:r>
        <w:t xml:space="preserve">.  Since the volume of any cone is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Bh</m:t>
        </m:r>
      </m:oMath>
      <w:r>
        <w:t xml:space="preserve">, each of these cones has a volume of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S∙</m:t>
        </m:r>
      </m:oMath>
      <w:r>
        <w:t xml:space="preserve"> </w:t>
      </w:r>
      <w:r>
        <w:rPr>
          <w:i/>
        </w:rPr>
        <w:t>r</w:t>
      </w:r>
      <w:r>
        <w:t>.</w:t>
      </w:r>
    </w:p>
    <w:p w14:paraId="56FB5903" w14:textId="77777777" w:rsidR="00C8515A" w:rsidRDefault="00C8515A"/>
    <w:p w14:paraId="0392BBA2" w14:textId="566B950A" w:rsidR="00C8515A" w:rsidRDefault="00C8515A" w:rsidP="00C8515A">
      <w:pPr>
        <w:ind w:left="720"/>
      </w:pPr>
      <w:r>
        <w:t xml:space="preserve">a.  </w:t>
      </w:r>
      <w:r w:rsidRPr="00C8515A">
        <w:t xml:space="preserve">Find the volume of </w:t>
      </w:r>
      <w:r w:rsidRPr="00C8515A">
        <w:rPr>
          <w:i/>
        </w:rPr>
        <w:t>n</w:t>
      </w:r>
      <w:r w:rsidRPr="00C8515A">
        <w:t xml:space="preserve"> of these cones.</w:t>
      </w:r>
    </w:p>
    <w:p w14:paraId="69EFA26B" w14:textId="77777777" w:rsidR="00C8515A" w:rsidRDefault="00C8515A" w:rsidP="00C8515A">
      <w:pPr>
        <w:ind w:left="720"/>
      </w:pPr>
    </w:p>
    <w:p w14:paraId="2C4B6A72" w14:textId="77777777" w:rsidR="00C8515A" w:rsidRDefault="00C8515A" w:rsidP="00C8515A">
      <w:pPr>
        <w:ind w:left="720"/>
      </w:pPr>
    </w:p>
    <w:p w14:paraId="643F7419" w14:textId="77777777" w:rsidR="00C8515A" w:rsidRDefault="00C8515A" w:rsidP="00C8515A">
      <w:pPr>
        <w:ind w:left="720"/>
      </w:pPr>
    </w:p>
    <w:p w14:paraId="2F34ECC6" w14:textId="48E60C0E" w:rsidR="00C8515A" w:rsidRDefault="00C8515A" w:rsidP="00C8515A">
      <w:pPr>
        <w:ind w:left="720"/>
      </w:pPr>
      <w:r>
        <w:t xml:space="preserve">b. </w:t>
      </w:r>
      <w:r w:rsidRPr="00C8515A">
        <w:t xml:space="preserve">Set the volume of </w:t>
      </w:r>
      <w:r w:rsidRPr="005B532E">
        <w:rPr>
          <w:i/>
        </w:rPr>
        <w:t>n</w:t>
      </w:r>
      <w:r w:rsidRPr="00C8515A">
        <w:t xml:space="preserve"> cones equal to</w:t>
      </w:r>
      <m:oMath>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oMath>
      <w:r w:rsidRPr="00C8515A">
        <w:t>, which is the volume of the sphere.</w:t>
      </w:r>
    </w:p>
    <w:p w14:paraId="619A3381" w14:textId="77777777" w:rsidR="00C8515A" w:rsidRDefault="00C8515A" w:rsidP="00C8515A">
      <w:pPr>
        <w:ind w:left="720"/>
      </w:pPr>
    </w:p>
    <w:p w14:paraId="66B594EB" w14:textId="77777777" w:rsidR="00C8515A" w:rsidRDefault="00C8515A" w:rsidP="00C8515A">
      <w:pPr>
        <w:ind w:left="720"/>
      </w:pPr>
    </w:p>
    <w:p w14:paraId="5F1EFB46" w14:textId="77777777" w:rsidR="00C8515A" w:rsidRDefault="00C8515A" w:rsidP="00C8515A">
      <w:pPr>
        <w:ind w:left="720"/>
      </w:pPr>
    </w:p>
    <w:p w14:paraId="3C1D2F7F" w14:textId="174ABCAA" w:rsidR="00C8515A" w:rsidRDefault="00C8515A" w:rsidP="00C8515A">
      <w:pPr>
        <w:ind w:left="720"/>
      </w:pPr>
      <w:r>
        <w:t xml:space="preserve">c.  Solve the equation in (b) for </w:t>
      </w:r>
      <w:r>
        <w:rPr>
          <w:i/>
        </w:rPr>
        <w:t>S</w:t>
      </w:r>
      <w:r>
        <w:t>.</w:t>
      </w:r>
    </w:p>
    <w:p w14:paraId="2934793C" w14:textId="77777777" w:rsidR="00C8515A" w:rsidRDefault="00C8515A" w:rsidP="00C8515A">
      <w:pPr>
        <w:ind w:left="720"/>
      </w:pPr>
    </w:p>
    <w:p w14:paraId="4BF60193" w14:textId="77777777" w:rsidR="00C8515A" w:rsidRDefault="00C8515A" w:rsidP="00C8515A">
      <w:pPr>
        <w:ind w:left="720"/>
      </w:pPr>
    </w:p>
    <w:p w14:paraId="37A750C0" w14:textId="77777777" w:rsidR="00C8515A" w:rsidRDefault="00C8515A" w:rsidP="00C8515A">
      <w:pPr>
        <w:ind w:left="720"/>
      </w:pPr>
    </w:p>
    <w:p w14:paraId="28D1A241" w14:textId="77777777" w:rsidR="00C8515A" w:rsidRDefault="00C8515A" w:rsidP="00C8515A">
      <w:pPr>
        <w:ind w:left="720"/>
      </w:pPr>
    </w:p>
    <w:p w14:paraId="46C1525A" w14:textId="67006FBA" w:rsidR="008B43FA" w:rsidRDefault="00C8515A" w:rsidP="00C8515A">
      <w:pPr>
        <w:pStyle w:val="ListParagraph"/>
        <w:numPr>
          <w:ilvl w:val="0"/>
          <w:numId w:val="4"/>
        </w:numPr>
      </w:pPr>
      <w:r>
        <w:t xml:space="preserve"> </w:t>
      </w:r>
      <w:r w:rsidR="008539F4">
        <w:t xml:space="preserve">You should now have a formula for the surface area of </w:t>
      </w:r>
      <w:r>
        <w:t>a</w:t>
      </w:r>
      <w:r w:rsidR="008539F4">
        <w:t xml:space="preserve"> sphere.  Does it agree with </w:t>
      </w:r>
      <w:r w:rsidR="00DC5FAB">
        <w:t>your</w:t>
      </w:r>
      <w:r w:rsidR="008539F4">
        <w:t xml:space="preserve"> experiment with the orange?</w:t>
      </w:r>
    </w:p>
    <w:p w14:paraId="2D637192" w14:textId="77777777" w:rsidR="00A21C1E" w:rsidRDefault="00A21C1E" w:rsidP="00DC5FAB"/>
    <w:p w14:paraId="16CB2224" w14:textId="676385F2" w:rsidR="00DC5FAB" w:rsidRDefault="00A21C1E" w:rsidP="00DC5FAB">
      <w:r>
        <w:rPr>
          <w:noProof/>
        </w:rPr>
        <w:drawing>
          <wp:anchor distT="0" distB="0" distL="114300" distR="114300" simplePos="0" relativeHeight="251664384" behindDoc="0" locked="0" layoutInCell="1" allowOverlap="1" wp14:anchorId="21B483A8" wp14:editId="7016951D">
            <wp:simplePos x="0" y="0"/>
            <wp:positionH relativeFrom="column">
              <wp:posOffset>4343400</wp:posOffset>
            </wp:positionH>
            <wp:positionV relativeFrom="paragraph">
              <wp:posOffset>95885</wp:posOffset>
            </wp:positionV>
            <wp:extent cx="2132965" cy="228600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2965" cy="2286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BCB3B4A" w14:textId="6CAA96AE" w:rsidR="00DC5FAB" w:rsidRDefault="00DC5FAB" w:rsidP="00DC5FAB"/>
    <w:p w14:paraId="6EAE7CB7" w14:textId="7F67680F" w:rsidR="00DC5FAB" w:rsidRDefault="00DC5FAB" w:rsidP="00DC5FAB">
      <w:r>
        <w:t xml:space="preserve">5. Archimedes was </w:t>
      </w:r>
      <w:r w:rsidR="00E724C5">
        <w:t>so proud of his discovery of the formulas for the volume and surface area of a sphere, that he asked for a picture of a sphere inscribed in a cylinder to be placed on his tombstone.  The radius of the sphere and the cylinder are the same, and the height of the cylinder is twice its radius.</w:t>
      </w:r>
    </w:p>
    <w:p w14:paraId="23A857A0" w14:textId="57AE75EC" w:rsidR="00E724C5" w:rsidRDefault="00E724C5" w:rsidP="00DC5FAB"/>
    <w:p w14:paraId="2FA1B874" w14:textId="77777777" w:rsidR="00A21C1E" w:rsidRDefault="00A21C1E" w:rsidP="00A21C1E">
      <w:pPr>
        <w:pStyle w:val="ListParagraph"/>
        <w:numPr>
          <w:ilvl w:val="4"/>
          <w:numId w:val="1"/>
        </w:numPr>
        <w:tabs>
          <w:tab w:val="clear" w:pos="3600"/>
        </w:tabs>
        <w:ind w:left="1170"/>
      </w:pPr>
      <w:r>
        <w:t>Find the volumes of the sphere and cylinder.</w:t>
      </w:r>
    </w:p>
    <w:p w14:paraId="212372D2" w14:textId="77777777" w:rsidR="00A21C1E" w:rsidRDefault="00A21C1E" w:rsidP="00A21C1E"/>
    <w:p w14:paraId="67F8950E" w14:textId="77777777" w:rsidR="00A21C1E" w:rsidRDefault="00A21C1E" w:rsidP="00A21C1E"/>
    <w:p w14:paraId="467B1A1B" w14:textId="77777777" w:rsidR="00A21C1E" w:rsidRDefault="00A21C1E" w:rsidP="00A21C1E"/>
    <w:p w14:paraId="7BA5620F" w14:textId="77777777" w:rsidR="00A21C1E" w:rsidRDefault="00A21C1E" w:rsidP="00A21C1E"/>
    <w:p w14:paraId="4F224D7F" w14:textId="5B08C794" w:rsidR="00A21C1E" w:rsidRDefault="00A21C1E" w:rsidP="00A21C1E"/>
    <w:p w14:paraId="1B61339C" w14:textId="73CC5B51" w:rsidR="00A21C1E" w:rsidRDefault="00A21C1E" w:rsidP="00A21C1E">
      <w:pPr>
        <w:pStyle w:val="ListParagraph"/>
        <w:numPr>
          <w:ilvl w:val="4"/>
          <w:numId w:val="1"/>
        </w:numPr>
        <w:tabs>
          <w:tab w:val="clear" w:pos="3600"/>
        </w:tabs>
        <w:ind w:left="1170"/>
      </w:pPr>
      <w:r>
        <w:t>Find the surface areas of the sphere and cylinder.  Be sure to include both bases of the cylinder.</w:t>
      </w:r>
    </w:p>
    <w:p w14:paraId="12AFDB01" w14:textId="77777777" w:rsidR="00A21C1E" w:rsidRDefault="00A21C1E" w:rsidP="00A21C1E"/>
    <w:p w14:paraId="777B7EFB" w14:textId="77777777" w:rsidR="00A21C1E" w:rsidRDefault="00A21C1E" w:rsidP="00A21C1E"/>
    <w:p w14:paraId="57C34DA8" w14:textId="77777777" w:rsidR="00A21C1E" w:rsidRDefault="00A21C1E" w:rsidP="00A21C1E"/>
    <w:p w14:paraId="7310139F" w14:textId="77777777" w:rsidR="00A21C1E" w:rsidRDefault="00A21C1E" w:rsidP="00A21C1E"/>
    <w:p w14:paraId="25ACDDF9" w14:textId="7ADD54ED" w:rsidR="00A21C1E" w:rsidRDefault="00A21C1E" w:rsidP="00A21C1E">
      <w:pPr>
        <w:pStyle w:val="ListParagraph"/>
        <w:numPr>
          <w:ilvl w:val="4"/>
          <w:numId w:val="1"/>
        </w:numPr>
        <w:tabs>
          <w:tab w:val="clear" w:pos="3600"/>
        </w:tabs>
        <w:ind w:left="1170"/>
      </w:pPr>
      <w:r>
        <w:t>Archimedes noticed that the ratio of the surface areas and volumes of the two solids is the same.  Show that he was correct.</w:t>
      </w:r>
    </w:p>
    <w:p w14:paraId="0E7F36B8" w14:textId="59051329" w:rsidR="00F35FA3" w:rsidRPr="00244284" w:rsidRDefault="00F35FA3" w:rsidP="00F35FA3">
      <w:pPr>
        <w:pStyle w:val="ListParagraph"/>
        <w:tabs>
          <w:tab w:val="left" w:pos="2790"/>
        </w:tabs>
        <w:ind w:left="0"/>
      </w:pPr>
      <w:r>
        <w:lastRenderedPageBreak/>
        <w:t xml:space="preserve">6.  Here is another proof of the formula </w:t>
      </w:r>
      <w:r>
        <w:rPr>
          <w:i/>
        </w:rPr>
        <w:t>S</w:t>
      </w:r>
      <w:r>
        <w:t xml:space="preserve"> = 4π</w:t>
      </w:r>
      <w:r>
        <w:rPr>
          <w:i/>
        </w:rPr>
        <w:t>r</w:t>
      </w:r>
      <w:r>
        <w:rPr>
          <w:vertAlign w:val="superscript"/>
        </w:rPr>
        <w:t>2</w:t>
      </w:r>
      <w:r w:rsidR="00D66404">
        <w:t xml:space="preserve">, based on Archimedes’ cylinder and sphere.  </w:t>
      </w:r>
      <w:r>
        <w:t xml:space="preserve"> </w:t>
      </w:r>
      <w:r w:rsidR="00244284">
        <w:t xml:space="preserve">Show that the surface area of the sphere is equal to the lateral surface area of the cylinder by dividing both into horizontal strips.  The radius of the sphere is designated by </w:t>
      </w:r>
      <w:r w:rsidR="00244284">
        <w:rPr>
          <w:i/>
        </w:rPr>
        <w:t>R</w:t>
      </w:r>
      <w:r w:rsidR="00244284">
        <w:t xml:space="preserve">, and the radius of each strip on the sphere is </w:t>
      </w:r>
      <w:r w:rsidR="00244284">
        <w:rPr>
          <w:i/>
        </w:rPr>
        <w:t xml:space="preserve">r. </w:t>
      </w:r>
      <w:r w:rsidR="00244284">
        <w:t xml:space="preserve">The height of the strip on the cylinder is </w:t>
      </w:r>
      <w:proofErr w:type="spellStart"/>
      <w:r w:rsidR="00244284">
        <w:rPr>
          <w:i/>
        </w:rPr>
        <w:t>h</w:t>
      </w:r>
      <w:r w:rsidR="00244284">
        <w:rPr>
          <w:i/>
          <w:vertAlign w:val="subscript"/>
        </w:rPr>
        <w:t>c</w:t>
      </w:r>
      <w:proofErr w:type="spellEnd"/>
      <w:r w:rsidR="00244284">
        <w:rPr>
          <w:i/>
        </w:rPr>
        <w:t xml:space="preserve"> </w:t>
      </w:r>
      <w:r w:rsidR="00244284">
        <w:t xml:space="preserve">and the height of the strip on the sphere is </w:t>
      </w:r>
      <w:proofErr w:type="spellStart"/>
      <w:r w:rsidR="00244284">
        <w:rPr>
          <w:i/>
        </w:rPr>
        <w:t>h</w:t>
      </w:r>
      <w:r w:rsidR="00244284">
        <w:rPr>
          <w:i/>
          <w:vertAlign w:val="subscript"/>
        </w:rPr>
        <w:t>s</w:t>
      </w:r>
      <w:proofErr w:type="spellEnd"/>
      <w:r w:rsidR="00244284">
        <w:t>.</w:t>
      </w:r>
    </w:p>
    <w:p w14:paraId="43BDD0D8" w14:textId="5AEACD9E" w:rsidR="00E724C5" w:rsidRDefault="00D66404" w:rsidP="00DC5FAB">
      <w:r>
        <w:rPr>
          <w:b/>
          <w:noProof/>
        </w:rPr>
        <w:drawing>
          <wp:anchor distT="0" distB="0" distL="114300" distR="114300" simplePos="0" relativeHeight="251666432" behindDoc="0" locked="0" layoutInCell="1" allowOverlap="1" wp14:anchorId="231F205B" wp14:editId="7CDF107E">
            <wp:simplePos x="0" y="0"/>
            <wp:positionH relativeFrom="column">
              <wp:posOffset>3429000</wp:posOffset>
            </wp:positionH>
            <wp:positionV relativeFrom="paragraph">
              <wp:posOffset>152400</wp:posOffset>
            </wp:positionV>
            <wp:extent cx="3007360" cy="1971040"/>
            <wp:effectExtent l="0" t="0" r="0" b="1016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7360" cy="19710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9193049" wp14:editId="586938CD">
            <wp:simplePos x="0" y="0"/>
            <wp:positionH relativeFrom="column">
              <wp:posOffset>-114300</wp:posOffset>
            </wp:positionH>
            <wp:positionV relativeFrom="paragraph">
              <wp:posOffset>213360</wp:posOffset>
            </wp:positionV>
            <wp:extent cx="2514600" cy="22307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22307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401BD5E" w14:textId="492CE8C6" w:rsidR="00E724C5" w:rsidRDefault="00E724C5" w:rsidP="00DC5FAB"/>
    <w:p w14:paraId="659BC95B" w14:textId="195610DD" w:rsidR="00C8515A" w:rsidRDefault="00C8515A" w:rsidP="00C8515A"/>
    <w:p w14:paraId="4A80DD73" w14:textId="6F71237C" w:rsidR="00E724C5" w:rsidRDefault="00E724C5" w:rsidP="00C8515A"/>
    <w:p w14:paraId="4CBC4FC8" w14:textId="77777777" w:rsidR="00E724C5" w:rsidRDefault="00E724C5" w:rsidP="00C8515A"/>
    <w:p w14:paraId="57B4F0AE" w14:textId="77777777" w:rsidR="00D66404" w:rsidRDefault="00D66404" w:rsidP="00C8515A"/>
    <w:p w14:paraId="538225BE" w14:textId="77777777" w:rsidR="00D66404" w:rsidRDefault="00D66404" w:rsidP="00C8515A"/>
    <w:p w14:paraId="42EEBE65" w14:textId="77777777" w:rsidR="00D66404" w:rsidRDefault="00D66404" w:rsidP="00C8515A"/>
    <w:p w14:paraId="5C0AF065" w14:textId="77777777" w:rsidR="00D66404" w:rsidRDefault="00D66404" w:rsidP="00C8515A"/>
    <w:p w14:paraId="2AB54C60" w14:textId="77777777" w:rsidR="00D66404" w:rsidRDefault="00D66404" w:rsidP="00C8515A"/>
    <w:p w14:paraId="083FD81E" w14:textId="77777777" w:rsidR="00D66404" w:rsidRDefault="00D66404" w:rsidP="00C8515A"/>
    <w:p w14:paraId="1452B731" w14:textId="77777777" w:rsidR="00D66404" w:rsidRDefault="00D66404" w:rsidP="00C8515A"/>
    <w:p w14:paraId="444A806F" w14:textId="77777777" w:rsidR="00D66404" w:rsidRDefault="00D66404" w:rsidP="00C8515A"/>
    <w:p w14:paraId="792DED8D" w14:textId="77777777" w:rsidR="00D66404" w:rsidRDefault="00D66404" w:rsidP="00C8515A"/>
    <w:p w14:paraId="6837D224" w14:textId="40859129" w:rsidR="00244284" w:rsidRPr="002F254A" w:rsidRDefault="00244284" w:rsidP="002F254A">
      <w:pPr>
        <w:jc w:val="right"/>
        <w:rPr>
          <w:sz w:val="20"/>
          <w:szCs w:val="20"/>
        </w:rPr>
      </w:pPr>
      <w:r w:rsidRPr="002F254A">
        <w:rPr>
          <w:sz w:val="20"/>
          <w:szCs w:val="20"/>
        </w:rPr>
        <w:t xml:space="preserve">Images and proof from </w:t>
      </w:r>
      <w:hyperlink r:id="rId16" w:history="1">
        <w:r w:rsidRPr="002F254A">
          <w:rPr>
            <w:rStyle w:val="Hyperlink"/>
            <w:sz w:val="20"/>
            <w:szCs w:val="20"/>
          </w:rPr>
          <w:t>http://mathcentral.uregina.ca/qq/database/QQ.09.99/wilkie1.html</w:t>
        </w:r>
      </w:hyperlink>
    </w:p>
    <w:p w14:paraId="7B6C2E24" w14:textId="77777777" w:rsidR="00244284" w:rsidRDefault="00244284" w:rsidP="00244284">
      <w:pPr>
        <w:pStyle w:val="ListParagraph"/>
        <w:ind w:left="360"/>
        <w:jc w:val="right"/>
        <w:rPr>
          <w:sz w:val="20"/>
          <w:szCs w:val="20"/>
        </w:rPr>
      </w:pPr>
    </w:p>
    <w:p w14:paraId="00330A47" w14:textId="59E5A42D" w:rsidR="00244284" w:rsidRPr="00987059" w:rsidRDefault="00987059" w:rsidP="008D4D06">
      <w:pPr>
        <w:pStyle w:val="ListParagraph"/>
        <w:ind w:left="360"/>
      </w:pPr>
      <w:r>
        <w:rPr>
          <w:noProof/>
        </w:rPr>
        <w:drawing>
          <wp:anchor distT="0" distB="0" distL="114300" distR="114300" simplePos="0" relativeHeight="251667456" behindDoc="0" locked="0" layoutInCell="1" allowOverlap="1" wp14:anchorId="01375E0E" wp14:editId="5149A888">
            <wp:simplePos x="0" y="0"/>
            <wp:positionH relativeFrom="column">
              <wp:posOffset>3886200</wp:posOffset>
            </wp:positionH>
            <wp:positionV relativeFrom="paragraph">
              <wp:posOffset>43180</wp:posOffset>
            </wp:positionV>
            <wp:extent cx="1828800" cy="164211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6421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D4D06">
        <w:t xml:space="preserve">a.  </w:t>
      </w:r>
      <w:r w:rsidR="00244284">
        <w:t xml:space="preserve">Show that the area of a strip on the sphere is </w:t>
      </w:r>
      <w:r w:rsidR="002E1778">
        <w:t>2π</w:t>
      </w:r>
      <w:proofErr w:type="spellStart"/>
      <w:r w:rsidR="00244284">
        <w:rPr>
          <w:i/>
        </w:rPr>
        <w:t>rh</w:t>
      </w:r>
      <w:r w:rsidR="00244284">
        <w:rPr>
          <w:i/>
          <w:vertAlign w:val="subscript"/>
        </w:rPr>
        <w:t>s</w:t>
      </w:r>
      <w:proofErr w:type="spellEnd"/>
      <w:r w:rsidR="008D4D06">
        <w:t>.</w:t>
      </w:r>
      <w:r w:rsidR="008D4D06">
        <w:br/>
      </w:r>
      <w:r>
        <w:br/>
      </w:r>
      <w:r w:rsidR="002F254A">
        <w:br/>
      </w:r>
      <w:r w:rsidR="008D4D06">
        <w:br/>
        <w:t xml:space="preserve">b.  Show that the area of a strip on the cylinder is </w:t>
      </w:r>
      <w:r w:rsidR="002E1778">
        <w:t>2π</w:t>
      </w:r>
      <w:proofErr w:type="spellStart"/>
      <w:r w:rsidR="008D4D06">
        <w:rPr>
          <w:i/>
        </w:rPr>
        <w:t>Rh</w:t>
      </w:r>
      <w:r w:rsidR="008D4D06">
        <w:rPr>
          <w:i/>
          <w:vertAlign w:val="subscript"/>
        </w:rPr>
        <w:t>c</w:t>
      </w:r>
      <w:proofErr w:type="spellEnd"/>
      <w:r w:rsidR="008D4D06">
        <w:t>.</w:t>
      </w:r>
      <w:r w:rsidR="008D4D06">
        <w:br/>
      </w:r>
      <w:r w:rsidR="002F254A">
        <w:br/>
      </w:r>
      <w:r>
        <w:br/>
      </w:r>
      <w:r w:rsidR="008D4D06">
        <w:br/>
        <w:t xml:space="preserve">c. </w:t>
      </w:r>
      <w:r>
        <w:t xml:space="preserve"> The figure at the right shows a vertical cross-section of the sphere and cylinder.  </w:t>
      </w:r>
      <m:oMath>
        <m:acc>
          <m:accPr>
            <m:chr m:val="⃡"/>
            <m:ctrlPr>
              <w:rPr>
                <w:rFonts w:ascii="Cambria Math" w:hAnsi="Cambria Math"/>
                <w:i/>
              </w:rPr>
            </m:ctrlPr>
          </m:accPr>
          <m:e>
            <m:r>
              <w:rPr>
                <w:rFonts w:ascii="Cambria Math" w:hAnsi="Cambria Math"/>
              </w:rPr>
              <m:t>AP</m:t>
            </m:r>
          </m:e>
        </m:acc>
      </m:oMath>
      <w:r>
        <w:t xml:space="preserve"> is tangent to the circle.  </w:t>
      </w:r>
      <w:r w:rsidRPr="00A41A0C">
        <w:rPr>
          <w:i/>
        </w:rPr>
        <w:t>KP</w:t>
      </w:r>
      <w:r>
        <w:t xml:space="preserve"> = </w:t>
      </w:r>
      <w:r w:rsidRPr="00A41A0C">
        <w:rPr>
          <w:i/>
        </w:rPr>
        <w:t>R</w:t>
      </w:r>
      <w:r>
        <w:t xml:space="preserve"> and </w:t>
      </w:r>
      <w:r w:rsidRPr="00A41A0C">
        <w:rPr>
          <w:i/>
        </w:rPr>
        <w:t>QP</w:t>
      </w:r>
      <w:r>
        <w:t xml:space="preserve"> = </w:t>
      </w:r>
      <w:r w:rsidRPr="00A41A0C">
        <w:rPr>
          <w:i/>
        </w:rPr>
        <w:t>r</w:t>
      </w:r>
      <w:r>
        <w:t xml:space="preserve">. </w:t>
      </w:r>
      <w:r w:rsidRPr="00A41A0C">
        <w:rPr>
          <w:i/>
        </w:rPr>
        <w:t>AP</w:t>
      </w:r>
      <w:r>
        <w:t xml:space="preserve"> = </w:t>
      </w:r>
      <w:proofErr w:type="spellStart"/>
      <w:r w:rsidRPr="00A41A0C">
        <w:rPr>
          <w:i/>
        </w:rPr>
        <w:t>h</w:t>
      </w:r>
      <w:r w:rsidRPr="00A41A0C">
        <w:rPr>
          <w:i/>
          <w:vertAlign w:val="subscript"/>
        </w:rPr>
        <w:t>s</w:t>
      </w:r>
      <w:proofErr w:type="spellEnd"/>
      <w:r>
        <w:t xml:space="preserve"> and AB = </w:t>
      </w:r>
      <w:proofErr w:type="spellStart"/>
      <w:r w:rsidRPr="00A41A0C">
        <w:rPr>
          <w:i/>
        </w:rPr>
        <w:t>h</w:t>
      </w:r>
      <w:r w:rsidRPr="00A41A0C">
        <w:rPr>
          <w:i/>
          <w:vertAlign w:val="subscript"/>
        </w:rPr>
        <w:t>c</w:t>
      </w:r>
      <w:proofErr w:type="spellEnd"/>
      <w:r w:rsidRPr="00A41A0C">
        <w:rPr>
          <w:i/>
          <w:vertAlign w:val="subscript"/>
        </w:rPr>
        <w:t>.</w:t>
      </w:r>
      <w:r w:rsidR="00A41A0C">
        <w:t>.</w:t>
      </w:r>
      <w:r>
        <w:t xml:space="preserve"> Show that </w:t>
      </w:r>
      <m:oMath>
        <m:f>
          <m:fPr>
            <m:ctrlPr>
              <w:rPr>
                <w:rFonts w:ascii="Cambria Math" w:hAnsi="Cambria Math"/>
                <w:i/>
              </w:rPr>
            </m:ctrlPr>
          </m:fPr>
          <m:num>
            <m:r>
              <w:rPr>
                <w:rFonts w:ascii="Cambria Math" w:hAnsi="Cambria Math"/>
              </w:rPr>
              <m:t>QP</m:t>
            </m:r>
          </m:num>
          <m:den>
            <m:r>
              <w:rPr>
                <w:rFonts w:ascii="Cambria Math" w:hAnsi="Cambria Math"/>
              </w:rPr>
              <m:t>KP</m:t>
            </m:r>
          </m:den>
        </m:f>
        <m:r>
          <w:rPr>
            <w:rFonts w:ascii="Cambria Math" w:hAnsi="Cambria Math"/>
          </w:rPr>
          <m:t>=</m:t>
        </m:r>
        <m:f>
          <m:fPr>
            <m:ctrlPr>
              <w:rPr>
                <w:rFonts w:ascii="Cambria Math" w:hAnsi="Cambria Math"/>
                <w:i/>
              </w:rPr>
            </m:ctrlPr>
          </m:fPr>
          <m:num>
            <m:r>
              <w:rPr>
                <w:rFonts w:ascii="Cambria Math" w:hAnsi="Cambria Math"/>
              </w:rPr>
              <m:t>AB</m:t>
            </m:r>
          </m:num>
          <m:den>
            <m:r>
              <w:rPr>
                <w:rFonts w:ascii="Cambria Math" w:hAnsi="Cambria Math"/>
              </w:rPr>
              <m:t>AP</m:t>
            </m:r>
          </m:den>
        </m:f>
        <m:r>
          <w:rPr>
            <w:rFonts w:ascii="Cambria Math" w:hAnsi="Cambria Math"/>
          </w:rPr>
          <m:t>.</m:t>
        </m:r>
      </m:oMath>
    </w:p>
    <w:p w14:paraId="0916420B" w14:textId="297DD2C4" w:rsidR="00987059" w:rsidRDefault="005B532E" w:rsidP="008D4D06">
      <w:pPr>
        <w:pStyle w:val="ListParagraph"/>
        <w:ind w:left="360"/>
      </w:pPr>
      <w:r>
        <w:br/>
      </w:r>
      <w:r>
        <w:br/>
      </w:r>
      <w:r w:rsidR="002F254A">
        <w:br/>
      </w:r>
    </w:p>
    <w:p w14:paraId="72C519A9" w14:textId="1EB7A3EB" w:rsidR="00987059" w:rsidRDefault="00987059" w:rsidP="008D4D06">
      <w:pPr>
        <w:pStyle w:val="ListParagraph"/>
        <w:ind w:left="360"/>
      </w:pPr>
      <w:r>
        <w:t>d.  Use the result from (c) to show that the area of the strip on the sphere is equal to the area of the strip on the cylinder.</w:t>
      </w:r>
    </w:p>
    <w:p w14:paraId="2142E77E" w14:textId="250958D3" w:rsidR="00987059" w:rsidRDefault="002F254A" w:rsidP="008D4D06">
      <w:pPr>
        <w:pStyle w:val="ListParagraph"/>
        <w:ind w:left="360"/>
      </w:pPr>
      <w:r>
        <w:br/>
      </w:r>
    </w:p>
    <w:p w14:paraId="5223156E" w14:textId="5B0B69CA" w:rsidR="008B43FA" w:rsidRDefault="00987059" w:rsidP="002F254A">
      <w:pPr>
        <w:pStyle w:val="ListParagraph"/>
        <w:ind w:left="360"/>
      </w:pPr>
      <w:r>
        <w:t xml:space="preserve">e. Complete the proof to show that the surface </w:t>
      </w:r>
      <w:r w:rsidR="002F254A">
        <w:t>area of the sphere is 4π</w:t>
      </w:r>
      <w:r w:rsidR="002F254A">
        <w:rPr>
          <w:i/>
        </w:rPr>
        <w:t>r</w:t>
      </w:r>
      <w:r w:rsidR="002F254A">
        <w:rPr>
          <w:vertAlign w:val="superscript"/>
        </w:rPr>
        <w:t>2</w:t>
      </w:r>
      <w:r w:rsidR="002F254A">
        <w:t>.</w:t>
      </w:r>
      <w:r w:rsidR="002F254A">
        <w:br/>
      </w:r>
      <w:r w:rsidR="002F254A">
        <w:br/>
      </w:r>
      <w:r w:rsidR="002F254A">
        <w:br/>
        <w:t>7.  For yet another proof of the surface area formula for a sphere, visit</w:t>
      </w:r>
      <w:r w:rsidR="002F254A">
        <w:br/>
      </w:r>
      <w:hyperlink r:id="rId18" w:history="1">
        <w:r w:rsidR="002F254A" w:rsidRPr="002F254A">
          <w:rPr>
            <w:rStyle w:val="Hyperlink"/>
          </w:rPr>
          <w:t>www.youtube.com/watch?v=6EzQEdBX_30</w:t>
        </w:r>
      </w:hyperlink>
      <w:r w:rsidR="002F254A">
        <w:t>.</w:t>
      </w:r>
    </w:p>
    <w:sectPr w:rsidR="008B43FA">
      <w:headerReference w:type="default" r:id="rId19"/>
      <w:footerReference w:type="default" r:id="rId20"/>
      <w:pgSz w:w="12240" w:h="15840"/>
      <w:pgMar w:top="1440" w:right="1440" w:bottom="1440" w:left="1440" w:header="720" w:footer="720" w:gutter="0"/>
      <w:cols w:space="720"/>
      <w:formProt w:val="0"/>
      <w:docGrid w:linePitch="326"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4B198" w14:textId="77777777" w:rsidR="00A41A0C" w:rsidRDefault="00A41A0C">
      <w:r>
        <w:separator/>
      </w:r>
    </w:p>
  </w:endnote>
  <w:endnote w:type="continuationSeparator" w:id="0">
    <w:p w14:paraId="22947463" w14:textId="77777777" w:rsidR="00A41A0C" w:rsidRDefault="00A4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Symbol">
    <w:panose1 w:val="020005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6E3A3" w14:textId="6154AE8D" w:rsidR="00A41A0C" w:rsidRDefault="00A41A0C">
    <w:pPr>
      <w:pBdr>
        <w:top w:val="single" w:sz="4" w:space="1" w:color="00000A"/>
        <w:left w:val="nil"/>
        <w:bottom w:val="nil"/>
        <w:right w:val="nil"/>
      </w:pBdr>
      <w:rPr>
        <w:sz w:val="20"/>
        <w:szCs w:val="20"/>
      </w:rPr>
    </w:pPr>
    <w:r>
      <w:rPr>
        <w:sz w:val="20"/>
        <w:szCs w:val="20"/>
      </w:rPr>
      <w:t>Activity 6.5.2</w:t>
    </w:r>
    <w:r>
      <w:rPr>
        <w:sz w:val="20"/>
        <w:szCs w:val="20"/>
      </w:rPr>
      <w:tab/>
      <w:t xml:space="preserve">                                                               </w:t>
    </w:r>
    <w:r>
      <w:rPr>
        <w:sz w:val="20"/>
        <w:szCs w:val="20"/>
      </w:rPr>
      <w:tab/>
      <w:t xml:space="preserve">  Connecticut Core Geometry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84F83" w14:textId="77777777" w:rsidR="00A41A0C" w:rsidRDefault="00A41A0C">
      <w:r>
        <w:separator/>
      </w:r>
    </w:p>
  </w:footnote>
  <w:footnote w:type="continuationSeparator" w:id="0">
    <w:p w14:paraId="5152AC71" w14:textId="77777777" w:rsidR="00A41A0C" w:rsidRDefault="00A41A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5F2EC" w14:textId="77777777" w:rsidR="00A41A0C" w:rsidRDefault="00A41A0C">
    <w:pPr>
      <w:pBdr>
        <w:top w:val="nil"/>
        <w:left w:val="nil"/>
        <w:bottom w:val="single" w:sz="4" w:space="1" w:color="00000A"/>
        <w:right w:val="nil"/>
      </w:pBdr>
      <w:rPr>
        <w:rStyle w:val="PageNumber"/>
      </w:rPr>
    </w:pPr>
    <w:r>
      <w:t>Name:</w:t>
    </w:r>
    <w:r>
      <w:tab/>
    </w:r>
    <w:r>
      <w:tab/>
    </w:r>
    <w:r>
      <w:tab/>
    </w:r>
    <w:r>
      <w:tab/>
    </w:r>
    <w:r>
      <w:tab/>
    </w:r>
    <w:r>
      <w:tab/>
    </w:r>
    <w:r>
      <w:tab/>
      <w:t xml:space="preserve">Date:                                    </w:t>
    </w:r>
    <w:r>
      <w:tab/>
      <w:t xml:space="preserve">     Page </w:t>
    </w:r>
    <w:r>
      <w:fldChar w:fldCharType="begin"/>
    </w:r>
    <w:r>
      <w:instrText>PAGE</w:instrText>
    </w:r>
    <w:r>
      <w:fldChar w:fldCharType="separate"/>
    </w:r>
    <w:r w:rsidR="00CC62BE">
      <w:rPr>
        <w:noProof/>
      </w:rPr>
      <w:t>1</w:t>
    </w:r>
    <w:r>
      <w:fldChar w:fldCharType="end"/>
    </w:r>
    <w:r>
      <w:t xml:space="preserve"> of </w:t>
    </w:r>
    <w:r>
      <w:fldChar w:fldCharType="begin"/>
    </w:r>
    <w:r>
      <w:instrText>NUMPAGES</w:instrText>
    </w:r>
    <w:r>
      <w:fldChar w:fldCharType="separate"/>
    </w:r>
    <w:r w:rsidR="00CC62BE">
      <w:rPr>
        <w:noProof/>
      </w:rPr>
      <w:t>5</w:t>
    </w:r>
    <w:r>
      <w:fldChar w:fldCharType="end"/>
    </w:r>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0252"/>
    <w:multiLevelType w:val="multilevel"/>
    <w:tmpl w:val="01FC973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8E030D0"/>
    <w:multiLevelType w:val="multilevel"/>
    <w:tmpl w:val="8698E4D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2"/>
      <w:numFmt w:val="lowerLetter"/>
      <w:lvlText w:val="%3."/>
      <w:lvlJc w:val="left"/>
      <w:pPr>
        <w:ind w:left="2340" w:hanging="360"/>
      </w:pPr>
      <w:rPr>
        <w:rFonts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6707A68"/>
    <w:multiLevelType w:val="multilevel"/>
    <w:tmpl w:val="51D032B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31B68C9"/>
    <w:multiLevelType w:val="multilevel"/>
    <w:tmpl w:val="FA00603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653B516D"/>
    <w:multiLevelType w:val="multilevel"/>
    <w:tmpl w:val="BB0E77E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9E37039"/>
    <w:multiLevelType w:val="multilevel"/>
    <w:tmpl w:val="2A0089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6F013A64"/>
    <w:multiLevelType w:val="hybridMultilevel"/>
    <w:tmpl w:val="20A48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A1378E"/>
    <w:multiLevelType w:val="hybridMultilevel"/>
    <w:tmpl w:val="FA006032"/>
    <w:lvl w:ilvl="0" w:tplc="C5C49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7"/>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FA"/>
    <w:rsid w:val="00042611"/>
    <w:rsid w:val="000A2B88"/>
    <w:rsid w:val="0011169B"/>
    <w:rsid w:val="001B4575"/>
    <w:rsid w:val="00244284"/>
    <w:rsid w:val="00281DAA"/>
    <w:rsid w:val="002E1778"/>
    <w:rsid w:val="002F254A"/>
    <w:rsid w:val="00314DAF"/>
    <w:rsid w:val="00400838"/>
    <w:rsid w:val="00454122"/>
    <w:rsid w:val="00520B49"/>
    <w:rsid w:val="005B2648"/>
    <w:rsid w:val="005B532E"/>
    <w:rsid w:val="007819FB"/>
    <w:rsid w:val="008539F4"/>
    <w:rsid w:val="008A3FB1"/>
    <w:rsid w:val="008B43FA"/>
    <w:rsid w:val="008D4D06"/>
    <w:rsid w:val="008E0358"/>
    <w:rsid w:val="008F2367"/>
    <w:rsid w:val="00910B5D"/>
    <w:rsid w:val="00921453"/>
    <w:rsid w:val="0094516B"/>
    <w:rsid w:val="0098541E"/>
    <w:rsid w:val="00987059"/>
    <w:rsid w:val="00A21C1E"/>
    <w:rsid w:val="00A41A0C"/>
    <w:rsid w:val="00C8515A"/>
    <w:rsid w:val="00CC62BE"/>
    <w:rsid w:val="00D66404"/>
    <w:rsid w:val="00DC5FAB"/>
    <w:rsid w:val="00E724C5"/>
    <w:rsid w:val="00E95CD5"/>
    <w:rsid w:val="00F35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BD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pPr>
      <w:ind w:left="720"/>
      <w:contextualSpacing/>
    </w:pPr>
  </w:style>
  <w:style w:type="character" w:styleId="CommentReference">
    <w:name w:val="annotation reference"/>
    <w:basedOn w:val="DefaultParagraphFont"/>
    <w:uiPriority w:val="99"/>
    <w:semiHidden/>
    <w:unhideWhenUsed/>
    <w:rsid w:val="008539F4"/>
    <w:rPr>
      <w:sz w:val="18"/>
      <w:szCs w:val="18"/>
    </w:rPr>
  </w:style>
  <w:style w:type="paragraph" w:styleId="CommentText">
    <w:name w:val="annotation text"/>
    <w:basedOn w:val="Normal"/>
    <w:link w:val="CommentTextChar"/>
    <w:uiPriority w:val="99"/>
    <w:semiHidden/>
    <w:unhideWhenUsed/>
    <w:rsid w:val="008539F4"/>
  </w:style>
  <w:style w:type="character" w:customStyle="1" w:styleId="CommentTextChar">
    <w:name w:val="Comment Text Char"/>
    <w:basedOn w:val="DefaultParagraphFont"/>
    <w:link w:val="CommentText"/>
    <w:uiPriority w:val="99"/>
    <w:semiHidden/>
    <w:rsid w:val="008539F4"/>
    <w:rPr>
      <w:sz w:val="24"/>
      <w:szCs w:val="24"/>
    </w:rPr>
  </w:style>
  <w:style w:type="paragraph" w:styleId="CommentSubject">
    <w:name w:val="annotation subject"/>
    <w:basedOn w:val="CommentText"/>
    <w:next w:val="CommentText"/>
    <w:link w:val="CommentSubjectChar"/>
    <w:uiPriority w:val="99"/>
    <w:semiHidden/>
    <w:unhideWhenUsed/>
    <w:rsid w:val="008539F4"/>
    <w:rPr>
      <w:b/>
      <w:bCs/>
      <w:sz w:val="20"/>
      <w:szCs w:val="20"/>
    </w:rPr>
  </w:style>
  <w:style w:type="character" w:customStyle="1" w:styleId="CommentSubjectChar">
    <w:name w:val="Comment Subject Char"/>
    <w:basedOn w:val="CommentTextChar"/>
    <w:link w:val="CommentSubject"/>
    <w:uiPriority w:val="99"/>
    <w:semiHidden/>
    <w:rsid w:val="008539F4"/>
    <w:rPr>
      <w:b/>
      <w:bCs/>
      <w:sz w:val="24"/>
      <w:szCs w:val="24"/>
    </w:rPr>
  </w:style>
  <w:style w:type="character" w:styleId="Hyperlink">
    <w:name w:val="Hyperlink"/>
    <w:basedOn w:val="DefaultParagraphFont"/>
    <w:uiPriority w:val="99"/>
    <w:unhideWhenUsed/>
    <w:rsid w:val="008F2367"/>
    <w:rPr>
      <w:color w:val="0000FF" w:themeColor="hyperlink"/>
      <w:u w:val="single"/>
    </w:rPr>
  </w:style>
  <w:style w:type="character" w:styleId="PlaceholderText">
    <w:name w:val="Placeholder Text"/>
    <w:basedOn w:val="DefaultParagraphFont"/>
    <w:uiPriority w:val="99"/>
    <w:semiHidden/>
    <w:rsid w:val="00042611"/>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pPr>
      <w:ind w:left="720"/>
      <w:contextualSpacing/>
    </w:pPr>
  </w:style>
  <w:style w:type="character" w:styleId="CommentReference">
    <w:name w:val="annotation reference"/>
    <w:basedOn w:val="DefaultParagraphFont"/>
    <w:uiPriority w:val="99"/>
    <w:semiHidden/>
    <w:unhideWhenUsed/>
    <w:rsid w:val="008539F4"/>
    <w:rPr>
      <w:sz w:val="18"/>
      <w:szCs w:val="18"/>
    </w:rPr>
  </w:style>
  <w:style w:type="paragraph" w:styleId="CommentText">
    <w:name w:val="annotation text"/>
    <w:basedOn w:val="Normal"/>
    <w:link w:val="CommentTextChar"/>
    <w:uiPriority w:val="99"/>
    <w:semiHidden/>
    <w:unhideWhenUsed/>
    <w:rsid w:val="008539F4"/>
  </w:style>
  <w:style w:type="character" w:customStyle="1" w:styleId="CommentTextChar">
    <w:name w:val="Comment Text Char"/>
    <w:basedOn w:val="DefaultParagraphFont"/>
    <w:link w:val="CommentText"/>
    <w:uiPriority w:val="99"/>
    <w:semiHidden/>
    <w:rsid w:val="008539F4"/>
    <w:rPr>
      <w:sz w:val="24"/>
      <w:szCs w:val="24"/>
    </w:rPr>
  </w:style>
  <w:style w:type="paragraph" w:styleId="CommentSubject">
    <w:name w:val="annotation subject"/>
    <w:basedOn w:val="CommentText"/>
    <w:next w:val="CommentText"/>
    <w:link w:val="CommentSubjectChar"/>
    <w:uiPriority w:val="99"/>
    <w:semiHidden/>
    <w:unhideWhenUsed/>
    <w:rsid w:val="008539F4"/>
    <w:rPr>
      <w:b/>
      <w:bCs/>
      <w:sz w:val="20"/>
      <w:szCs w:val="20"/>
    </w:rPr>
  </w:style>
  <w:style w:type="character" w:customStyle="1" w:styleId="CommentSubjectChar">
    <w:name w:val="Comment Subject Char"/>
    <w:basedOn w:val="CommentTextChar"/>
    <w:link w:val="CommentSubject"/>
    <w:uiPriority w:val="99"/>
    <w:semiHidden/>
    <w:rsid w:val="008539F4"/>
    <w:rPr>
      <w:b/>
      <w:bCs/>
      <w:sz w:val="24"/>
      <w:szCs w:val="24"/>
    </w:rPr>
  </w:style>
  <w:style w:type="character" w:styleId="Hyperlink">
    <w:name w:val="Hyperlink"/>
    <w:basedOn w:val="DefaultParagraphFont"/>
    <w:uiPriority w:val="99"/>
    <w:unhideWhenUsed/>
    <w:rsid w:val="008F2367"/>
    <w:rPr>
      <w:color w:val="0000FF" w:themeColor="hyperlink"/>
      <w:u w:val="single"/>
    </w:rPr>
  </w:style>
  <w:style w:type="character" w:styleId="PlaceholderText">
    <w:name w:val="Placeholder Text"/>
    <w:basedOn w:val="DefaultParagraphFont"/>
    <w:uiPriority w:val="99"/>
    <w:semiHidden/>
    <w:rsid w:val="000426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hyperlink" Target="http://mathcentral.uregina.ca/qq/database/QQ.09.99/wilkie1.html" TargetMode="External"/><Relationship Id="rId17" Type="http://schemas.openxmlformats.org/officeDocument/2006/relationships/image" Target="media/image8.png"/><Relationship Id="rId18" Type="http://schemas.openxmlformats.org/officeDocument/2006/relationships/hyperlink" Target="http://www.youtube.com/watch?v=6EzQEdBX_30"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30402-9883-E44F-958A-A88328C0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726</Words>
  <Characters>4144</Characters>
  <Application>Microsoft Macintosh Word</Application>
  <DocSecurity>0</DocSecurity>
  <Lines>34</Lines>
  <Paragraphs>9</Paragraphs>
  <ScaleCrop>false</ScaleCrop>
  <Company>Central Connecticut State University</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Algebraic Expressions – Lifting Weights</dc:title>
  <dc:creator>Tim Craine User</dc:creator>
  <cp:lastModifiedBy>Tim Craine User</cp:lastModifiedBy>
  <cp:revision>3</cp:revision>
  <cp:lastPrinted>2016-01-02T23:56:00Z</cp:lastPrinted>
  <dcterms:created xsi:type="dcterms:W3CDTF">2016-01-02T23:56:00Z</dcterms:created>
  <dcterms:modified xsi:type="dcterms:W3CDTF">2016-01-02T23:56:00Z</dcterms:modified>
  <dc:language>en-US</dc:language>
</cp:coreProperties>
</file>