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24B" w:rsidRPr="005A372D" w:rsidRDefault="00C6224B" w:rsidP="00945680">
      <w:pPr>
        <w:pStyle w:val="Heading2"/>
        <w:tabs>
          <w:tab w:val="left" w:pos="6480"/>
        </w:tabs>
        <w:jc w:val="both"/>
        <w:rPr>
          <w:rFonts w:ascii="Times New Roman" w:hAnsi="Times New Roman" w:cs="Times New Roman"/>
          <w:b w:val="0"/>
          <w:color w:val="auto"/>
          <w:sz w:val="24"/>
          <w:szCs w:val="24"/>
        </w:rPr>
      </w:pPr>
      <w:r w:rsidRPr="005A372D">
        <w:rPr>
          <w:rFonts w:ascii="Times New Roman" w:hAnsi="Times New Roman" w:cs="Times New Roman"/>
          <w:color w:val="auto"/>
          <w:sz w:val="24"/>
          <w:szCs w:val="24"/>
        </w:rPr>
        <w:t xml:space="preserve">Health Standard No.: </w:t>
      </w:r>
      <w:r w:rsidRPr="005A372D">
        <w:rPr>
          <w:rFonts w:ascii="Times New Roman" w:hAnsi="Times New Roman" w:cs="Times New Roman"/>
          <w:b w:val="0"/>
          <w:color w:val="auto"/>
          <w:sz w:val="24"/>
          <w:szCs w:val="24"/>
        </w:rPr>
        <w:t>1</w:t>
      </w:r>
      <w:r w:rsidR="005A372D" w:rsidRPr="005A372D">
        <w:rPr>
          <w:rFonts w:ascii="Times New Roman" w:hAnsi="Times New Roman" w:cs="Times New Roman"/>
          <w:b w:val="0"/>
          <w:color w:val="auto"/>
          <w:sz w:val="24"/>
          <w:szCs w:val="24"/>
        </w:rPr>
        <w:t>9</w:t>
      </w:r>
      <w:r w:rsidRPr="005A372D">
        <w:rPr>
          <w:rFonts w:ascii="Times New Roman" w:hAnsi="Times New Roman" w:cs="Times New Roman"/>
          <w:b w:val="0"/>
          <w:color w:val="auto"/>
          <w:sz w:val="24"/>
          <w:szCs w:val="24"/>
        </w:rPr>
        <w:t>-</w:t>
      </w:r>
      <w:r w:rsidR="005A372D" w:rsidRPr="005A372D">
        <w:rPr>
          <w:rFonts w:ascii="Times New Roman" w:hAnsi="Times New Roman" w:cs="Times New Roman"/>
          <w:b w:val="0"/>
          <w:color w:val="auto"/>
          <w:sz w:val="24"/>
          <w:szCs w:val="24"/>
        </w:rPr>
        <w:t>1</w:t>
      </w:r>
      <w:r w:rsidRPr="005A372D">
        <w:rPr>
          <w:rFonts w:ascii="Times New Roman" w:hAnsi="Times New Roman" w:cs="Times New Roman"/>
          <w:b w:val="0"/>
          <w:color w:val="auto"/>
          <w:sz w:val="24"/>
          <w:szCs w:val="24"/>
        </w:rPr>
        <w:tab/>
      </w:r>
      <w:r w:rsidRPr="005A372D">
        <w:rPr>
          <w:rFonts w:ascii="Times New Roman" w:hAnsi="Times New Roman" w:cs="Times New Roman"/>
          <w:color w:val="auto"/>
          <w:sz w:val="24"/>
          <w:szCs w:val="24"/>
        </w:rPr>
        <w:t>Issue Date</w:t>
      </w:r>
      <w:r w:rsidRPr="005A372D">
        <w:rPr>
          <w:rFonts w:ascii="Times New Roman" w:hAnsi="Times New Roman" w:cs="Times New Roman"/>
          <w:b w:val="0"/>
          <w:color w:val="auto"/>
          <w:sz w:val="24"/>
          <w:szCs w:val="24"/>
        </w:rPr>
        <w:t xml:space="preserve">: </w:t>
      </w:r>
      <w:r w:rsidR="00883D3B">
        <w:rPr>
          <w:rFonts w:ascii="Times New Roman" w:hAnsi="Times New Roman" w:cs="Times New Roman"/>
          <w:b w:val="0"/>
          <w:color w:val="auto"/>
          <w:sz w:val="24"/>
          <w:szCs w:val="24"/>
        </w:rPr>
        <w:t>July</w:t>
      </w:r>
      <w:r w:rsidR="008A5177" w:rsidRPr="005A372D">
        <w:rPr>
          <w:rFonts w:ascii="Times New Roman" w:hAnsi="Times New Roman" w:cs="Times New Roman"/>
          <w:b w:val="0"/>
          <w:color w:val="auto"/>
          <w:sz w:val="24"/>
          <w:szCs w:val="24"/>
        </w:rPr>
        <w:t xml:space="preserve"> </w:t>
      </w:r>
      <w:r w:rsidR="00490CC9" w:rsidRPr="005A372D">
        <w:rPr>
          <w:rFonts w:ascii="Times New Roman" w:hAnsi="Times New Roman" w:cs="Times New Roman"/>
          <w:b w:val="0"/>
          <w:color w:val="auto"/>
          <w:sz w:val="24"/>
          <w:szCs w:val="24"/>
        </w:rPr>
        <w:t>1</w:t>
      </w:r>
      <w:r w:rsidR="008A5177" w:rsidRPr="005A372D">
        <w:rPr>
          <w:rFonts w:ascii="Times New Roman" w:hAnsi="Times New Roman" w:cs="Times New Roman"/>
          <w:b w:val="0"/>
          <w:color w:val="auto"/>
          <w:sz w:val="24"/>
          <w:szCs w:val="24"/>
        </w:rPr>
        <w:t>, 201</w:t>
      </w:r>
      <w:r w:rsidR="005A372D" w:rsidRPr="005A372D">
        <w:rPr>
          <w:rFonts w:ascii="Times New Roman" w:hAnsi="Times New Roman" w:cs="Times New Roman"/>
          <w:b w:val="0"/>
          <w:color w:val="auto"/>
          <w:sz w:val="24"/>
          <w:szCs w:val="24"/>
        </w:rPr>
        <w:t>9</w:t>
      </w:r>
    </w:p>
    <w:p w:rsidR="00C6224B" w:rsidRPr="005A372D" w:rsidRDefault="00C6224B" w:rsidP="00945680">
      <w:pPr>
        <w:pStyle w:val="H2"/>
        <w:tabs>
          <w:tab w:val="left" w:pos="6480"/>
        </w:tabs>
        <w:spacing w:before="0" w:after="0"/>
        <w:rPr>
          <w:b w:val="0"/>
          <w:sz w:val="24"/>
          <w:szCs w:val="24"/>
        </w:rPr>
      </w:pPr>
      <w:r w:rsidRPr="005A372D">
        <w:rPr>
          <w:sz w:val="24"/>
          <w:szCs w:val="24"/>
        </w:rPr>
        <w:t>Subject:</w:t>
      </w:r>
      <w:r w:rsidRPr="005A372D">
        <w:rPr>
          <w:b w:val="0"/>
          <w:sz w:val="24"/>
          <w:szCs w:val="24"/>
        </w:rPr>
        <w:t xml:space="preserve"> </w:t>
      </w:r>
      <w:r w:rsidR="005A372D" w:rsidRPr="005A372D">
        <w:rPr>
          <w:sz w:val="24"/>
          <w:szCs w:val="24"/>
        </w:rPr>
        <w:t>Consent Required for Medical or Dental</w:t>
      </w:r>
      <w:r w:rsidRPr="005A372D">
        <w:rPr>
          <w:b w:val="0"/>
          <w:sz w:val="24"/>
          <w:szCs w:val="24"/>
        </w:rPr>
        <w:tab/>
      </w:r>
      <w:r w:rsidRPr="005A372D">
        <w:rPr>
          <w:sz w:val="24"/>
          <w:szCs w:val="24"/>
        </w:rPr>
        <w:t>Effective Date:</w:t>
      </w:r>
      <w:r w:rsidRPr="005A372D">
        <w:rPr>
          <w:b w:val="0"/>
          <w:sz w:val="24"/>
          <w:szCs w:val="24"/>
        </w:rPr>
        <w:t xml:space="preserve"> </w:t>
      </w:r>
      <w:r w:rsidR="008A5177" w:rsidRPr="005A372D">
        <w:rPr>
          <w:b w:val="0"/>
          <w:sz w:val="24"/>
          <w:szCs w:val="24"/>
        </w:rPr>
        <w:t xml:space="preserve">Upon </w:t>
      </w:r>
      <w:r w:rsidR="005279F7" w:rsidRPr="005A372D">
        <w:rPr>
          <w:b w:val="0"/>
          <w:sz w:val="24"/>
          <w:szCs w:val="24"/>
        </w:rPr>
        <w:t>release</w:t>
      </w:r>
    </w:p>
    <w:p w:rsidR="00C6224B" w:rsidRPr="00965254" w:rsidRDefault="005A372D" w:rsidP="00945680">
      <w:pPr>
        <w:tabs>
          <w:tab w:val="left" w:pos="6480"/>
        </w:tabs>
        <w:ind w:right="-144"/>
        <w:rPr>
          <w:rFonts w:ascii="Times New Roman" w:hAnsi="Times New Roman"/>
          <w:szCs w:val="24"/>
        </w:rPr>
      </w:pPr>
      <w:r w:rsidRPr="00965254">
        <w:rPr>
          <w:rFonts w:ascii="Times New Roman" w:hAnsi="Times New Roman"/>
          <w:b/>
          <w:szCs w:val="24"/>
        </w:rPr>
        <w:t>Procedures including Emergency Surgery</w:t>
      </w:r>
      <w:r w:rsidR="00C6224B" w:rsidRPr="00965254">
        <w:rPr>
          <w:rFonts w:ascii="Times New Roman" w:hAnsi="Times New Roman"/>
          <w:szCs w:val="24"/>
        </w:rPr>
        <w:tab/>
      </w:r>
      <w:r w:rsidR="005279F7" w:rsidRPr="00965254">
        <w:rPr>
          <w:rFonts w:ascii="Times New Roman" w:hAnsi="Times New Roman"/>
          <w:b/>
          <w:bCs/>
          <w:szCs w:val="24"/>
        </w:rPr>
        <w:t>Approved:</w:t>
      </w:r>
      <w:r w:rsidR="005279F7" w:rsidRPr="00965254">
        <w:rPr>
          <w:rFonts w:ascii="Times New Roman" w:hAnsi="Times New Roman"/>
          <w:bCs/>
          <w:szCs w:val="24"/>
        </w:rPr>
        <w:t>/s/Jordan A. Scheff/</w:t>
      </w:r>
      <w:r w:rsidR="00F30126">
        <w:rPr>
          <w:rFonts w:ascii="Times New Roman" w:hAnsi="Times New Roman"/>
          <w:bCs/>
          <w:szCs w:val="24"/>
        </w:rPr>
        <w:t>LT</w:t>
      </w:r>
    </w:p>
    <w:p w:rsidR="00C6224B" w:rsidRPr="00CA5082" w:rsidRDefault="00C6224B" w:rsidP="00945680">
      <w:pPr>
        <w:ind w:right="-144"/>
        <w:rPr>
          <w:rFonts w:ascii="Times New Roman" w:hAnsi="Times New Roman"/>
          <w:b/>
          <w:szCs w:val="24"/>
        </w:rPr>
      </w:pPr>
      <w:r w:rsidRPr="005A372D">
        <w:rPr>
          <w:rFonts w:ascii="Times New Roman" w:hAnsi="Times New Roman"/>
          <w:b/>
          <w:bCs/>
          <w:szCs w:val="24"/>
        </w:rPr>
        <w:t xml:space="preserve">Section: </w:t>
      </w:r>
      <w:r w:rsidRPr="005A372D">
        <w:rPr>
          <w:rFonts w:ascii="Times New Roman" w:hAnsi="Times New Roman"/>
          <w:szCs w:val="24"/>
        </w:rPr>
        <w:t xml:space="preserve">Health Standards </w:t>
      </w:r>
    </w:p>
    <w:p w:rsidR="00C6224B" w:rsidRPr="00AC59B6" w:rsidRDefault="00C6224B" w:rsidP="00CD28EB">
      <w:pPr>
        <w:jc w:val="center"/>
        <w:rPr>
          <w:rFonts w:ascii="Times New Roman" w:hAnsi="Times New Roman"/>
          <w:b/>
          <w:color w:val="FF0000"/>
          <w:szCs w:val="24"/>
        </w:rPr>
      </w:pPr>
    </w:p>
    <w:p w:rsidR="00F74173" w:rsidRPr="00CA5082" w:rsidRDefault="00F144C4" w:rsidP="00950A8F">
      <w:pPr>
        <w:jc w:val="center"/>
        <w:rPr>
          <w:rFonts w:ascii="Times New Roman" w:hAnsi="Times New Roman"/>
          <w:b/>
          <w:bCs/>
          <w:szCs w:val="24"/>
        </w:rPr>
      </w:pPr>
      <w:r>
        <w:rPr>
          <w:rFonts w:ascii="Times New Roman" w:hAnsi="Times New Roman"/>
          <w:b/>
          <w:bCs/>
          <w:szCs w:val="24"/>
        </w:rPr>
        <w:t>Introduction</w:t>
      </w:r>
    </w:p>
    <w:p w:rsidR="00453BD8" w:rsidRDefault="00453BD8" w:rsidP="00B80A41">
      <w:pPr>
        <w:ind w:left="360" w:right="360"/>
        <w:rPr>
          <w:rFonts w:ascii="Times New Roman" w:hAnsi="Times New Roman"/>
          <w:szCs w:val="24"/>
        </w:rPr>
      </w:pPr>
      <w:r w:rsidRPr="00453BD8">
        <w:rPr>
          <w:rFonts w:ascii="Times New Roman" w:hAnsi="Times New Roman"/>
          <w:szCs w:val="24"/>
        </w:rPr>
        <w:t xml:space="preserve">In accordance with </w:t>
      </w:r>
      <w:hyperlink w:anchor="_Subsection_(f)_of" w:history="1">
        <w:r w:rsidRPr="00B80A41">
          <w:rPr>
            <w:rStyle w:val="Hyperlink"/>
            <w:rFonts w:ascii="Times New Roman" w:hAnsi="Times New Roman"/>
            <w:szCs w:val="24"/>
          </w:rPr>
          <w:t>subsection (f) of section 17a-238 of the Connecticut General Statutes</w:t>
        </w:r>
      </w:hyperlink>
      <w:r w:rsidRPr="00453BD8">
        <w:rPr>
          <w:rFonts w:ascii="Times New Roman" w:hAnsi="Times New Roman"/>
          <w:szCs w:val="24"/>
        </w:rPr>
        <w:t xml:space="preserve">, an “attending physician of any person placed or treated in a residential facility” is required  “to obtain informed written consent from” either: “(1) The </w:t>
      </w:r>
      <w:r w:rsidRPr="00453BD8">
        <w:rPr>
          <w:rFonts w:ascii="Times New Roman" w:hAnsi="Times New Roman"/>
          <w:iCs/>
          <w:szCs w:val="24"/>
        </w:rPr>
        <w:t>person</w:t>
      </w:r>
      <w:r w:rsidRPr="00453BD8">
        <w:rPr>
          <w:rFonts w:ascii="Times New Roman" w:hAnsi="Times New Roman"/>
          <w:szCs w:val="24"/>
        </w:rPr>
        <w:t xml:space="preserve"> if such </w:t>
      </w:r>
      <w:r w:rsidRPr="00453BD8">
        <w:rPr>
          <w:rFonts w:ascii="Times New Roman" w:hAnsi="Times New Roman"/>
          <w:iCs/>
          <w:szCs w:val="24"/>
        </w:rPr>
        <w:t>person</w:t>
      </w:r>
      <w:r w:rsidRPr="00453BD8">
        <w:rPr>
          <w:rFonts w:ascii="Times New Roman" w:hAnsi="Times New Roman"/>
          <w:szCs w:val="24"/>
        </w:rPr>
        <w:t xml:space="preserve"> is eighteen years of age or over or is legally emancipated and competent to give such consent; (2) the parent of a </w:t>
      </w:r>
      <w:r w:rsidRPr="00453BD8">
        <w:rPr>
          <w:rFonts w:ascii="Times New Roman" w:hAnsi="Times New Roman"/>
          <w:iCs/>
          <w:szCs w:val="24"/>
        </w:rPr>
        <w:t>person</w:t>
      </w:r>
      <w:r w:rsidRPr="00453BD8">
        <w:rPr>
          <w:rFonts w:ascii="Times New Roman" w:hAnsi="Times New Roman"/>
          <w:szCs w:val="24"/>
        </w:rPr>
        <w:t xml:space="preserve"> under eighteen years of age who is not legally emancipated; or (3) the legal </w:t>
      </w:r>
      <w:r w:rsidRPr="00453BD8">
        <w:rPr>
          <w:rFonts w:ascii="Times New Roman" w:hAnsi="Times New Roman"/>
          <w:iCs/>
          <w:szCs w:val="24"/>
        </w:rPr>
        <w:t>representative</w:t>
      </w:r>
      <w:r w:rsidRPr="00453BD8">
        <w:rPr>
          <w:rFonts w:ascii="Times New Roman" w:hAnsi="Times New Roman"/>
          <w:szCs w:val="24"/>
        </w:rPr>
        <w:t xml:space="preserve"> of a </w:t>
      </w:r>
      <w:r w:rsidRPr="00453BD8">
        <w:rPr>
          <w:rFonts w:ascii="Times New Roman" w:hAnsi="Times New Roman"/>
          <w:iCs/>
          <w:szCs w:val="24"/>
        </w:rPr>
        <w:t>person</w:t>
      </w:r>
      <w:r w:rsidRPr="00453BD8">
        <w:rPr>
          <w:rFonts w:ascii="Times New Roman" w:hAnsi="Times New Roman"/>
          <w:szCs w:val="24"/>
        </w:rPr>
        <w:t xml:space="preserve"> of any age who is adjudicated unable to make informed decisions about matters relating to such </w:t>
      </w:r>
      <w:r w:rsidRPr="00453BD8">
        <w:rPr>
          <w:rFonts w:ascii="Times New Roman" w:hAnsi="Times New Roman"/>
          <w:iCs/>
          <w:szCs w:val="24"/>
        </w:rPr>
        <w:t>person's</w:t>
      </w:r>
      <w:r w:rsidRPr="00453BD8">
        <w:rPr>
          <w:rFonts w:ascii="Times New Roman" w:hAnsi="Times New Roman"/>
          <w:szCs w:val="24"/>
        </w:rPr>
        <w:t xml:space="preserve"> medical care” before the physician authorizes “any surgical procedure or any medical treatment, excluding routine medical treatment which is necessary to maintain the general health of </w:t>
      </w:r>
      <w:r w:rsidRPr="00453BD8">
        <w:rPr>
          <w:rFonts w:ascii="Times New Roman" w:hAnsi="Times New Roman"/>
          <w:iCs/>
          <w:szCs w:val="24"/>
        </w:rPr>
        <w:t>the person</w:t>
      </w:r>
      <w:r w:rsidRPr="00453BD8">
        <w:rPr>
          <w:rFonts w:ascii="Times New Roman" w:hAnsi="Times New Roman"/>
          <w:szCs w:val="24"/>
        </w:rPr>
        <w:t xml:space="preserve"> or to prevent the spread of any communicable disease”.</w:t>
      </w:r>
      <w:r>
        <w:rPr>
          <w:rFonts w:ascii="Times New Roman" w:hAnsi="Times New Roman"/>
          <w:szCs w:val="24"/>
        </w:rPr>
        <w:t xml:space="preserve">  If an individual’s legal representative is not able to be contacted to give or withhold consent th</w:t>
      </w:r>
      <w:r w:rsidR="00A9056B">
        <w:rPr>
          <w:rFonts w:ascii="Times New Roman" w:hAnsi="Times New Roman"/>
          <w:szCs w:val="24"/>
        </w:rPr>
        <w:t>e</w:t>
      </w:r>
      <w:r>
        <w:rPr>
          <w:rFonts w:ascii="Times New Roman" w:hAnsi="Times New Roman"/>
          <w:szCs w:val="24"/>
        </w:rPr>
        <w:t xml:space="preserve">n the Commissioner of Developmental Services </w:t>
      </w:r>
      <w:r w:rsidR="00C65BFC">
        <w:rPr>
          <w:rFonts w:ascii="Times New Roman" w:hAnsi="Times New Roman"/>
          <w:szCs w:val="24"/>
        </w:rPr>
        <w:t xml:space="preserve">may give consent for a surgical procedure or medical treatment for an individual until such time as the individual’s legal representative </w:t>
      </w:r>
      <w:r w:rsidR="002F1429">
        <w:rPr>
          <w:rFonts w:ascii="Times New Roman" w:hAnsi="Times New Roman"/>
          <w:szCs w:val="24"/>
        </w:rPr>
        <w:t>is available to</w:t>
      </w:r>
      <w:r w:rsidR="00C65BFC">
        <w:rPr>
          <w:rFonts w:ascii="Times New Roman" w:hAnsi="Times New Roman"/>
          <w:szCs w:val="24"/>
        </w:rPr>
        <w:t xml:space="preserve"> give or withhold consent.  </w:t>
      </w:r>
      <w:r w:rsidR="000152AC">
        <w:rPr>
          <w:rFonts w:ascii="Times New Roman" w:hAnsi="Times New Roman"/>
          <w:szCs w:val="24"/>
        </w:rPr>
        <w:t>In the case of an individual requiring emergency surgery</w:t>
      </w:r>
      <w:r w:rsidR="00B80A41">
        <w:rPr>
          <w:rFonts w:ascii="Times New Roman" w:hAnsi="Times New Roman"/>
          <w:szCs w:val="24"/>
        </w:rPr>
        <w:t>, if the individual’s legal representative is unavailable to give or withhold consent th</w:t>
      </w:r>
      <w:r w:rsidR="002F1429">
        <w:rPr>
          <w:rFonts w:ascii="Times New Roman" w:hAnsi="Times New Roman"/>
          <w:szCs w:val="24"/>
        </w:rPr>
        <w:t>e</w:t>
      </w:r>
      <w:r w:rsidR="00B80A41">
        <w:rPr>
          <w:rFonts w:ascii="Times New Roman" w:hAnsi="Times New Roman"/>
          <w:szCs w:val="24"/>
        </w:rPr>
        <w:t xml:space="preserve">n the DDS regional or training school director may provide consent for the </w:t>
      </w:r>
      <w:r w:rsidR="00D70218">
        <w:rPr>
          <w:rFonts w:ascii="Times New Roman" w:hAnsi="Times New Roman"/>
          <w:szCs w:val="24"/>
        </w:rPr>
        <w:t xml:space="preserve">emergency </w:t>
      </w:r>
      <w:r w:rsidR="00B80A41">
        <w:rPr>
          <w:rFonts w:ascii="Times New Roman" w:hAnsi="Times New Roman"/>
          <w:szCs w:val="24"/>
        </w:rPr>
        <w:t>surgery.</w:t>
      </w:r>
      <w:r w:rsidR="000152AC">
        <w:rPr>
          <w:rFonts w:ascii="Times New Roman" w:hAnsi="Times New Roman"/>
          <w:szCs w:val="24"/>
        </w:rPr>
        <w:t xml:space="preserve"> </w:t>
      </w:r>
    </w:p>
    <w:p w:rsidR="00B80A41" w:rsidRPr="00930434" w:rsidRDefault="00B80A41" w:rsidP="00B80A41">
      <w:pPr>
        <w:ind w:left="360" w:right="360"/>
        <w:rPr>
          <w:rFonts w:ascii="Times New Roman" w:hAnsi="Times New Roman"/>
          <w:szCs w:val="24"/>
        </w:rPr>
      </w:pPr>
    </w:p>
    <w:p w:rsidR="00F74173" w:rsidRPr="00930434" w:rsidRDefault="00F74173" w:rsidP="00F74173">
      <w:pPr>
        <w:pStyle w:val="ListParagraph"/>
        <w:numPr>
          <w:ilvl w:val="0"/>
          <w:numId w:val="17"/>
        </w:numPr>
        <w:ind w:left="360"/>
        <w:rPr>
          <w:b/>
        </w:rPr>
      </w:pPr>
      <w:r w:rsidRPr="00930434">
        <w:rPr>
          <w:b/>
          <w:bCs/>
        </w:rPr>
        <w:t>Purpose</w:t>
      </w:r>
      <w:r w:rsidRPr="00930434">
        <w:rPr>
          <w:b/>
        </w:rPr>
        <w:t xml:space="preserve"> </w:t>
      </w:r>
    </w:p>
    <w:p w:rsidR="008B13B5" w:rsidRPr="00930434" w:rsidRDefault="008B13B5" w:rsidP="00F712BF">
      <w:pPr>
        <w:tabs>
          <w:tab w:val="left" w:pos="720"/>
        </w:tabs>
        <w:spacing w:after="100" w:afterAutospacing="1"/>
        <w:ind w:left="360"/>
        <w:rPr>
          <w:rFonts w:ascii="Times New Roman" w:hAnsi="Times New Roman"/>
          <w:szCs w:val="24"/>
        </w:rPr>
      </w:pPr>
      <w:r w:rsidRPr="00A27D88">
        <w:rPr>
          <w:rFonts w:ascii="Times New Roman" w:hAnsi="Times New Roman"/>
          <w:szCs w:val="24"/>
        </w:rPr>
        <w:t>The Department of Developmental Services</w:t>
      </w:r>
      <w:r w:rsidR="002F1429">
        <w:rPr>
          <w:rFonts w:ascii="Times New Roman" w:hAnsi="Times New Roman"/>
          <w:szCs w:val="24"/>
        </w:rPr>
        <w:t xml:space="preserve"> and its qualified providers,</w:t>
      </w:r>
      <w:r w:rsidRPr="00A27D88">
        <w:rPr>
          <w:rFonts w:ascii="Times New Roman" w:hAnsi="Times New Roman"/>
          <w:szCs w:val="24"/>
        </w:rPr>
        <w:t xml:space="preserve"> </w:t>
      </w:r>
      <w:r w:rsidR="003C2051" w:rsidRPr="00A27D88">
        <w:rPr>
          <w:rFonts w:ascii="Times New Roman" w:hAnsi="Times New Roman"/>
          <w:szCs w:val="24"/>
        </w:rPr>
        <w:t>in cases where an individual requires a medical treatment or surgical procedure</w:t>
      </w:r>
      <w:r w:rsidR="00A27D88">
        <w:rPr>
          <w:rFonts w:ascii="Times New Roman" w:hAnsi="Times New Roman"/>
          <w:szCs w:val="24"/>
        </w:rPr>
        <w:t xml:space="preserve">, including emergency surgery, </w:t>
      </w:r>
      <w:r w:rsidR="00A6464D">
        <w:rPr>
          <w:rFonts w:ascii="Times New Roman" w:hAnsi="Times New Roman"/>
          <w:szCs w:val="24"/>
        </w:rPr>
        <w:t>are</w:t>
      </w:r>
      <w:r w:rsidR="003C2051" w:rsidRPr="00A27D88">
        <w:rPr>
          <w:rFonts w:ascii="Times New Roman" w:hAnsi="Times New Roman"/>
          <w:szCs w:val="24"/>
        </w:rPr>
        <w:t xml:space="preserve"> required </w:t>
      </w:r>
      <w:r w:rsidR="002F1429">
        <w:rPr>
          <w:rFonts w:ascii="Times New Roman" w:hAnsi="Times New Roman"/>
          <w:szCs w:val="24"/>
        </w:rPr>
        <w:t xml:space="preserve">to make every effort to </w:t>
      </w:r>
      <w:r w:rsidR="00A6464D">
        <w:rPr>
          <w:rFonts w:ascii="Times New Roman" w:hAnsi="Times New Roman"/>
          <w:szCs w:val="24"/>
        </w:rPr>
        <w:t xml:space="preserve">provide contact information for an individual’s legal representative to medical personnel </w:t>
      </w:r>
      <w:r w:rsidR="00796CB0">
        <w:rPr>
          <w:rFonts w:ascii="Times New Roman" w:hAnsi="Times New Roman"/>
          <w:szCs w:val="24"/>
        </w:rPr>
        <w:t>s</w:t>
      </w:r>
      <w:r w:rsidR="00A6464D">
        <w:rPr>
          <w:rFonts w:ascii="Times New Roman" w:hAnsi="Times New Roman"/>
          <w:szCs w:val="24"/>
        </w:rPr>
        <w:t>o that consent may be obtained from the legal representative for the</w:t>
      </w:r>
      <w:r w:rsidR="00796CB0">
        <w:rPr>
          <w:rFonts w:ascii="Times New Roman" w:hAnsi="Times New Roman"/>
          <w:szCs w:val="24"/>
        </w:rPr>
        <w:t xml:space="preserve"> treatment or procedure.  This Health Standard details the process by which </w:t>
      </w:r>
      <w:r w:rsidR="002F71D8">
        <w:rPr>
          <w:rFonts w:ascii="Times New Roman" w:hAnsi="Times New Roman"/>
          <w:szCs w:val="24"/>
        </w:rPr>
        <w:t>contact information for a legal representative is provided, what steps are taken if a legal representative is not able to be contacted</w:t>
      </w:r>
      <w:r w:rsidR="007B461B">
        <w:rPr>
          <w:rFonts w:ascii="Times New Roman" w:hAnsi="Times New Roman"/>
          <w:szCs w:val="24"/>
        </w:rPr>
        <w:t>,</w:t>
      </w:r>
      <w:r w:rsidR="002F71D8">
        <w:rPr>
          <w:rFonts w:ascii="Times New Roman" w:hAnsi="Times New Roman"/>
          <w:szCs w:val="24"/>
        </w:rPr>
        <w:t xml:space="preserve"> and the department’s and commissioner’s responsibility</w:t>
      </w:r>
      <w:r w:rsidR="007B461B">
        <w:rPr>
          <w:rFonts w:ascii="Times New Roman" w:hAnsi="Times New Roman"/>
          <w:szCs w:val="24"/>
        </w:rPr>
        <w:t xml:space="preserve"> to provide or deny consent in the absence of an individual’s legal representative.</w:t>
      </w:r>
      <w:r w:rsidR="002F71D8">
        <w:rPr>
          <w:rFonts w:ascii="Times New Roman" w:hAnsi="Times New Roman"/>
          <w:szCs w:val="24"/>
        </w:rPr>
        <w:t xml:space="preserve"> </w:t>
      </w:r>
      <w:r w:rsidR="00A6464D">
        <w:rPr>
          <w:rFonts w:ascii="Times New Roman" w:hAnsi="Times New Roman"/>
          <w:szCs w:val="24"/>
        </w:rPr>
        <w:t xml:space="preserve"> </w:t>
      </w:r>
    </w:p>
    <w:p w:rsidR="00F74173" w:rsidRPr="00930434" w:rsidRDefault="00F74173" w:rsidP="00F74173">
      <w:pPr>
        <w:pStyle w:val="ListParagraph"/>
        <w:numPr>
          <w:ilvl w:val="0"/>
          <w:numId w:val="17"/>
        </w:numPr>
        <w:ind w:left="360"/>
        <w:rPr>
          <w:b/>
        </w:rPr>
      </w:pPr>
      <w:r w:rsidRPr="00930434">
        <w:rPr>
          <w:b/>
          <w:bCs/>
        </w:rPr>
        <w:t>Applicability</w:t>
      </w:r>
    </w:p>
    <w:p w:rsidR="00CA5082" w:rsidRPr="00930434" w:rsidRDefault="00CA5082" w:rsidP="00F74173">
      <w:pPr>
        <w:pStyle w:val="ListParagraph"/>
        <w:ind w:left="360"/>
      </w:pPr>
      <w:r w:rsidRPr="00082EDB">
        <w:t xml:space="preserve">This health standard applies to all </w:t>
      </w:r>
      <w:r w:rsidR="007B461B" w:rsidRPr="00082EDB">
        <w:t xml:space="preserve">employees of the Department of Developmental Services and its qualified providers who have direct care responsibilities </w:t>
      </w:r>
      <w:r w:rsidR="0073264A">
        <w:t xml:space="preserve">or oversight responsibilities </w:t>
      </w:r>
      <w:r w:rsidR="007B461B" w:rsidRPr="00082EDB">
        <w:t xml:space="preserve">for </w:t>
      </w:r>
      <w:r w:rsidRPr="00082EDB">
        <w:t xml:space="preserve">individuals for whom the department </w:t>
      </w:r>
      <w:r w:rsidR="007B461B" w:rsidRPr="00082EDB">
        <w:t>provides funding or services</w:t>
      </w:r>
      <w:r w:rsidRPr="00082EDB">
        <w:t xml:space="preserve">. </w:t>
      </w:r>
      <w:r w:rsidRPr="00AC59B6">
        <w:t xml:space="preserve">This standard </w:t>
      </w:r>
      <w:r w:rsidR="00AC59B6" w:rsidRPr="00AC59B6">
        <w:t xml:space="preserve">also applies </w:t>
      </w:r>
      <w:r w:rsidRPr="00AC59B6">
        <w:t xml:space="preserve">to </w:t>
      </w:r>
      <w:r w:rsidR="00AC59B6" w:rsidRPr="00AC59B6">
        <w:t>all legal representatives of individuals receiving funding or services from DDS.</w:t>
      </w:r>
      <w:r w:rsidRPr="00930434">
        <w:t xml:space="preserve"> </w:t>
      </w:r>
    </w:p>
    <w:p w:rsidR="00CA5082" w:rsidRPr="00930434" w:rsidRDefault="00120D08" w:rsidP="00490CC9">
      <w:pPr>
        <w:pStyle w:val="Default"/>
        <w:tabs>
          <w:tab w:val="left" w:pos="900"/>
        </w:tabs>
        <w:ind w:right="990"/>
        <w:rPr>
          <w:sz w:val="16"/>
          <w:szCs w:val="16"/>
        </w:rPr>
      </w:pPr>
      <w:r w:rsidRPr="00930434">
        <w:tab/>
      </w:r>
    </w:p>
    <w:p w:rsidR="00CA5082" w:rsidRPr="00930434" w:rsidRDefault="00F74173" w:rsidP="00F74173">
      <w:pPr>
        <w:pStyle w:val="ListParagraph"/>
        <w:numPr>
          <w:ilvl w:val="0"/>
          <w:numId w:val="17"/>
        </w:numPr>
        <w:ind w:left="360"/>
        <w:rPr>
          <w:b/>
          <w:bCs/>
        </w:rPr>
      </w:pPr>
      <w:r w:rsidRPr="00930434">
        <w:rPr>
          <w:b/>
          <w:bCs/>
        </w:rPr>
        <w:t>Definitions</w:t>
      </w:r>
    </w:p>
    <w:p w:rsidR="00F71B71" w:rsidRPr="00930434" w:rsidRDefault="00F71B71" w:rsidP="00F74173">
      <w:pPr>
        <w:pStyle w:val="Blockquote"/>
        <w:spacing w:before="0" w:after="0"/>
        <w:rPr>
          <w:sz w:val="16"/>
          <w:szCs w:val="16"/>
        </w:rPr>
      </w:pPr>
    </w:p>
    <w:p w:rsidR="00CA5082" w:rsidRPr="00930434" w:rsidRDefault="00B53E13" w:rsidP="00F74173">
      <w:pPr>
        <w:pStyle w:val="Blockquote"/>
        <w:spacing w:before="0" w:after="0"/>
      </w:pPr>
      <w:r w:rsidRPr="00930434">
        <w:t>“</w:t>
      </w:r>
      <w:r w:rsidR="00F71B71" w:rsidRPr="00930434">
        <w:t>Individual</w:t>
      </w:r>
      <w:r w:rsidRPr="00930434">
        <w:t>”</w:t>
      </w:r>
      <w:r w:rsidR="00CA5082" w:rsidRPr="00930434">
        <w:rPr>
          <w:bCs/>
        </w:rPr>
        <w:t xml:space="preserve"> </w:t>
      </w:r>
      <w:r w:rsidRPr="00930434">
        <w:rPr>
          <w:bCs/>
        </w:rPr>
        <w:t xml:space="preserve">means </w:t>
      </w:r>
      <w:r w:rsidR="00F71B71" w:rsidRPr="00930434">
        <w:rPr>
          <w:bCs/>
        </w:rPr>
        <w:t>a person who receives funding or services from the Department of Developmental Services.</w:t>
      </w:r>
    </w:p>
    <w:p w:rsidR="00CA5082" w:rsidRPr="00930434" w:rsidRDefault="00CA5082" w:rsidP="00F74173">
      <w:pPr>
        <w:ind w:left="360"/>
        <w:rPr>
          <w:rFonts w:ascii="Times New Roman" w:hAnsi="Times New Roman"/>
          <w:sz w:val="16"/>
          <w:szCs w:val="16"/>
        </w:rPr>
      </w:pPr>
    </w:p>
    <w:p w:rsidR="00CA5082" w:rsidRPr="00930434" w:rsidRDefault="00F74173" w:rsidP="00F74173">
      <w:pPr>
        <w:pStyle w:val="ListParagraph"/>
        <w:numPr>
          <w:ilvl w:val="0"/>
          <w:numId w:val="17"/>
        </w:numPr>
        <w:ind w:left="360"/>
        <w:rPr>
          <w:b/>
          <w:bCs/>
        </w:rPr>
      </w:pPr>
      <w:r w:rsidRPr="00930434">
        <w:rPr>
          <w:b/>
          <w:bCs/>
        </w:rPr>
        <w:t>Implementation</w:t>
      </w:r>
    </w:p>
    <w:p w:rsidR="0097341F" w:rsidRPr="0097341F" w:rsidRDefault="0097341F" w:rsidP="0097341F">
      <w:pPr>
        <w:ind w:left="360" w:right="360"/>
        <w:rPr>
          <w:rFonts w:ascii="Times New Roman" w:hAnsi="Times New Roman"/>
          <w:sz w:val="8"/>
          <w:szCs w:val="8"/>
        </w:rPr>
      </w:pPr>
    </w:p>
    <w:p w:rsidR="0097341F" w:rsidRPr="0097341F" w:rsidRDefault="0097341F" w:rsidP="0097341F">
      <w:pPr>
        <w:pStyle w:val="ListParagraph"/>
        <w:numPr>
          <w:ilvl w:val="0"/>
          <w:numId w:val="49"/>
        </w:numPr>
        <w:ind w:right="360"/>
      </w:pPr>
      <w:r w:rsidRPr="0097341F">
        <w:t xml:space="preserve">The Planning and Support Team of an individual who has a legal representative for medical decision-making shall contact such legal representative so that the legal representative may give the attending physician consent for the individual to undergo “any surgical procedure or any medical treatment.”  The legal representative’s consent must be obtained even if the medical treatment is of an urgent nature.    A legal representative’s consent does not need to be given for “routine medical treatment which is necessary to maintain the general health of </w:t>
      </w:r>
      <w:r w:rsidRPr="0097341F">
        <w:rPr>
          <w:iCs/>
        </w:rPr>
        <w:t>the person</w:t>
      </w:r>
      <w:r w:rsidRPr="0097341F">
        <w:t xml:space="preserve"> or to prevent the spread of any communicable disease”.  The individual’s Planning and Support Team should anticipate when the individual will need surgery or a medical treatment and be able to contact the individual’s legal representative in a timely manner so that consent may be given</w:t>
      </w:r>
      <w:r w:rsidR="004B5FC1">
        <w:t xml:space="preserve"> or withheld</w:t>
      </w:r>
      <w:r w:rsidRPr="0097341F">
        <w:t>.</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pPr>
      <w:r w:rsidRPr="0097341F">
        <w:lastRenderedPageBreak/>
        <w:t xml:space="preserve">In the event that the legal representative cannot be contacted by the Planning and Support Team, the individual’s case manager or case manager supervisor and the regional Health Services Director or the Director of Nursing for Public Programs shall be notified.  The case manager or case manager supervisor and the regional Health Services Director or the Director of Nursing for Public Programs shall collaborate in efforts to contact the individual’s legal representative.  </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pPr>
      <w:r w:rsidRPr="0097341F">
        <w:t>If the case managers’ or directors’ attempts at contacting the legal representative are unsuccessful, the Regional Director shall be notified and provided with supporting documentation of the attempts to reach the individual’s legal representative, along with medical documentation from the hospital, physician, dentist, healthcare provider, etc., that outlines the necessary medical or dental treatment or surgical procedure, and the contact information of the healthcare provider  in order for the Regional Director to communicate with the healthcare provider concerning the recommended treatment or procedure, any associated risks, benefits, other options, plan of care, and plan for recovery.  The Regional Director or his or her designee shall attempt to contact the individual’s legal representative for consent and, if unsuccessful, shall refer the matter to the Commissioner.</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pPr>
      <w:r w:rsidRPr="0097341F">
        <w:t xml:space="preserve">The Commissioner may decide, in the absence of contact with the individual’s legal representative, that the individual’s recommended medical treatment or surgical procedure may proceed under the Commissioner’s authority in subsection (e) of section 17a-238 of the Connecticut General Statutes that states: “The Commissioner of Developmental Services shall ensure that each person placed or treated under the commissioner’s direction in any public or private facility is afforded the following rights and privileges: (1) The right to prompt, sufficient and appropriate medical treatment”.  The Commissioner’s decision shall be in effect until such time as the individual’s legal representative has been contacted and consent has either been given or withheld for the medical treatment or surgical procedure.        </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rPr>
          <w:rFonts w:eastAsiaTheme="minorHAnsi"/>
        </w:rPr>
      </w:pPr>
      <w:r w:rsidRPr="0097341F">
        <w:rPr>
          <w:rFonts w:eastAsiaTheme="minorHAnsi"/>
          <w:b/>
        </w:rPr>
        <w:t>No public or private agency administrator or employee, other than the Commissioner of Developmental Services</w:t>
      </w:r>
      <w:r w:rsidR="00E52577">
        <w:rPr>
          <w:rFonts w:eastAsiaTheme="minorHAnsi"/>
          <w:b/>
        </w:rPr>
        <w:t xml:space="preserve"> </w:t>
      </w:r>
      <w:r w:rsidR="00E52577" w:rsidRPr="000B3362">
        <w:rPr>
          <w:b/>
          <w:bCs/>
        </w:rPr>
        <w:t>or a DDS regional or training school director</w:t>
      </w:r>
      <w:r w:rsidRPr="0097341F">
        <w:rPr>
          <w:rFonts w:eastAsiaTheme="minorHAnsi"/>
          <w:b/>
        </w:rPr>
        <w:t>, may consent for an individual to have a medical treatment or a surgical procedure.</w:t>
      </w:r>
      <w:r w:rsidRPr="0097341F">
        <w:rPr>
          <w:rFonts w:eastAsiaTheme="minorHAnsi"/>
        </w:rPr>
        <w:t xml:space="preserve">  The individual’s legal representative is required to give or withhold this consent.  No public or private agency administrator or employee shall withhold the individual’s legal representative’s contact information from the individual’s attending physician or any authorized person seeking to contact the individual’s legal representative for the purposes of obtaining consent for a medical treatment or surgical procedure.</w:t>
      </w:r>
    </w:p>
    <w:p w:rsidR="0097341F" w:rsidRPr="0097341F" w:rsidRDefault="0097341F" w:rsidP="0097341F">
      <w:pPr>
        <w:ind w:left="360" w:right="360"/>
        <w:rPr>
          <w:rFonts w:ascii="Times New Roman" w:eastAsiaTheme="minorHAnsi" w:hAnsi="Times New Roman"/>
          <w:sz w:val="16"/>
          <w:szCs w:val="16"/>
        </w:rPr>
      </w:pPr>
    </w:p>
    <w:p w:rsidR="004B5FC1" w:rsidRDefault="0097341F" w:rsidP="0097341F">
      <w:pPr>
        <w:pStyle w:val="ListParagraph"/>
        <w:numPr>
          <w:ilvl w:val="0"/>
          <w:numId w:val="49"/>
        </w:numPr>
        <w:ind w:right="360"/>
        <w:rPr>
          <w:rFonts w:eastAsiaTheme="minorHAnsi"/>
        </w:rPr>
      </w:pPr>
      <w:r w:rsidRPr="0097341F">
        <w:rPr>
          <w:rFonts w:eastAsiaTheme="minorHAnsi"/>
        </w:rPr>
        <w:t xml:space="preserve">Staff accompanying an individual to a medical or dental appointment should be reminded that </w:t>
      </w:r>
      <w:r w:rsidRPr="00B168B9">
        <w:rPr>
          <w:rFonts w:eastAsiaTheme="minorHAnsi"/>
          <w:u w:val="single"/>
        </w:rPr>
        <w:t>a staff person is</w:t>
      </w:r>
      <w:r w:rsidRPr="0097341F">
        <w:rPr>
          <w:rFonts w:eastAsiaTheme="minorHAnsi"/>
          <w:u w:val="single"/>
        </w:rPr>
        <w:t xml:space="preserve"> not permitted to consent to treatment</w:t>
      </w:r>
      <w:r w:rsidRPr="0097341F">
        <w:rPr>
          <w:rFonts w:eastAsiaTheme="minorHAnsi"/>
        </w:rPr>
        <w:t xml:space="preserve">, even in cases where the legal representative has signed an agency form permitting the agency to seek medical treatment for the individual. </w:t>
      </w:r>
    </w:p>
    <w:p w:rsidR="004B5FC1" w:rsidRPr="004B5FC1" w:rsidRDefault="004B5FC1" w:rsidP="004B5FC1">
      <w:pPr>
        <w:pStyle w:val="ListParagraph"/>
        <w:ind w:right="360"/>
        <w:rPr>
          <w:rFonts w:eastAsiaTheme="minorHAnsi"/>
          <w:sz w:val="16"/>
          <w:szCs w:val="16"/>
        </w:rPr>
      </w:pPr>
    </w:p>
    <w:p w:rsidR="0097341F" w:rsidRPr="0097341F" w:rsidRDefault="0097341F" w:rsidP="0097341F">
      <w:pPr>
        <w:pStyle w:val="ListParagraph"/>
        <w:numPr>
          <w:ilvl w:val="0"/>
          <w:numId w:val="49"/>
        </w:numPr>
        <w:ind w:right="360"/>
        <w:rPr>
          <w:rFonts w:eastAsiaTheme="minorHAnsi"/>
        </w:rPr>
      </w:pPr>
      <w:r w:rsidRPr="0097341F">
        <w:rPr>
          <w:rFonts w:eastAsiaTheme="minorHAnsi"/>
        </w:rPr>
        <w:t xml:space="preserve">To assure that appropriate consent from the legal representative </w:t>
      </w:r>
      <w:r w:rsidR="002F1429">
        <w:rPr>
          <w:rFonts w:eastAsiaTheme="minorHAnsi"/>
        </w:rPr>
        <w:t>is</w:t>
      </w:r>
      <w:r w:rsidRPr="0097341F">
        <w:rPr>
          <w:rFonts w:eastAsiaTheme="minorHAnsi"/>
        </w:rPr>
        <w:t xml:space="preserve"> in place prior to an individual’s medical or dental appointment, the residential provider staff shall provide the healthcare provider (i.e., physician, dentist, nurse practitioner, physician’s assistant, etc.) with the name and contact information for the individual’s legal representative.  It is strongly recommended that a residential provider ensures that consent forms are given to the individual’s legal representative or the individual prior to the date of the appointment whenever possible.  An individual who does not have a legal representative for medical decision-making may benefit from receiving consent forms prior to an appointment in order for the healthcare provider or a nurse to help clarify any questions or concerns the individual may have.  </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pPr>
      <w:r w:rsidRPr="0097341F">
        <w:t xml:space="preserve">If an individual requires emergency surgery and the individual’s legal representative has not been able to be contacted to provide or withhold consent for the emergency surgery, the regional or training school director may “authorize necessary surgery for such </w:t>
      </w:r>
      <w:r w:rsidRPr="0097341F">
        <w:rPr>
          <w:iCs/>
        </w:rPr>
        <w:t>person</w:t>
      </w:r>
      <w:r w:rsidRPr="0097341F">
        <w:t xml:space="preserve"> where, in the opinion of </w:t>
      </w:r>
      <w:r w:rsidRPr="0097341F">
        <w:lastRenderedPageBreak/>
        <w:t xml:space="preserve">the </w:t>
      </w:r>
      <w:r w:rsidRPr="0097341F">
        <w:rPr>
          <w:iCs/>
        </w:rPr>
        <w:t>person's</w:t>
      </w:r>
      <w:r w:rsidRPr="0097341F">
        <w:t xml:space="preserve"> attending physician, the surgery is of an emergency nature and there is insufficient time to obtain the required written consent” in accordance with subsection (f) of section 17a-238 CGS. </w:t>
      </w:r>
    </w:p>
    <w:p w:rsidR="0097341F" w:rsidRPr="0097341F" w:rsidRDefault="0097341F" w:rsidP="0097341F">
      <w:pPr>
        <w:ind w:left="360" w:right="360"/>
        <w:rPr>
          <w:rFonts w:ascii="Times New Roman" w:hAnsi="Times New Roman"/>
          <w:sz w:val="16"/>
          <w:szCs w:val="16"/>
        </w:rPr>
      </w:pPr>
    </w:p>
    <w:p w:rsidR="0097341F" w:rsidRPr="0097341F" w:rsidRDefault="0097341F" w:rsidP="0097341F">
      <w:pPr>
        <w:pStyle w:val="ListParagraph"/>
        <w:numPr>
          <w:ilvl w:val="0"/>
          <w:numId w:val="49"/>
        </w:numPr>
        <w:ind w:right="360"/>
      </w:pPr>
      <w:r w:rsidRPr="0097341F">
        <w:t>Section 17a-238 of the Connecticut General Statutes does not allow for or give anyone the ability to change an individual’s code status.</w:t>
      </w:r>
    </w:p>
    <w:p w:rsidR="0097341F" w:rsidRPr="0097341F" w:rsidRDefault="0097341F" w:rsidP="0097341F">
      <w:pPr>
        <w:ind w:left="360" w:right="360"/>
        <w:rPr>
          <w:rFonts w:ascii="Times New Roman" w:hAnsi="Times New Roman"/>
          <w:sz w:val="16"/>
          <w:szCs w:val="16"/>
        </w:rPr>
      </w:pPr>
    </w:p>
    <w:p w:rsidR="0097341F" w:rsidRPr="0097341F" w:rsidRDefault="0097341F" w:rsidP="002F1DC5">
      <w:pPr>
        <w:pStyle w:val="ListParagraph"/>
        <w:numPr>
          <w:ilvl w:val="0"/>
          <w:numId w:val="49"/>
        </w:numPr>
        <w:spacing w:after="100" w:afterAutospacing="1"/>
      </w:pPr>
      <w:r w:rsidRPr="0097341F">
        <w:t xml:space="preserve">If there are any questions or concerns regarding this Health Standard, please contact the appropriate Regional Health Services Director (HSD). Please refer to the </w:t>
      </w:r>
      <w:hyperlink r:id="rId8" w:history="1">
        <w:r w:rsidR="002F1DC5">
          <w:rPr>
            <w:rStyle w:val="Hyperlink"/>
          </w:rPr>
          <w:t>DDS website</w:t>
        </w:r>
      </w:hyperlink>
      <w:r w:rsidR="002F1DC5">
        <w:t xml:space="preserve"> </w:t>
      </w:r>
      <w:r w:rsidR="002F1DC5" w:rsidRPr="002F1DC5">
        <w:t xml:space="preserve"> </w:t>
      </w:r>
      <w:r w:rsidRPr="0097341F">
        <w:t>or a regional contact for the appropriate Regional Health Services Director’s name and contact information.  In the event that the HSD is unable to answer the question, resolve the concern</w:t>
      </w:r>
      <w:r w:rsidR="002F1DC5">
        <w:t>,</w:t>
      </w:r>
      <w:r w:rsidRPr="0097341F">
        <w:t xml:space="preserve"> or if there are additional questions, please contact </w:t>
      </w:r>
      <w:hyperlink r:id="rId9" w:history="1">
        <w:r w:rsidR="004B5FC1" w:rsidRPr="004B5FC1">
          <w:rPr>
            <w:rStyle w:val="Hyperlink"/>
          </w:rPr>
          <w:t>Dr. Valencia Bagby-Young</w:t>
        </w:r>
      </w:hyperlink>
      <w:r w:rsidR="002F1DC5">
        <w:t xml:space="preserve">, </w:t>
      </w:r>
      <w:r w:rsidRPr="004B5FC1">
        <w:t xml:space="preserve">DDS Director of Health and Clinical Services, </w:t>
      </w:r>
      <w:r w:rsidRPr="0097341F">
        <w:t>at the DDS Central Office.</w:t>
      </w:r>
    </w:p>
    <w:p w:rsidR="00CA5082" w:rsidRDefault="00CA5082" w:rsidP="00CD28EB">
      <w:pPr>
        <w:pStyle w:val="ListParagraph"/>
        <w:numPr>
          <w:ilvl w:val="0"/>
          <w:numId w:val="17"/>
        </w:numPr>
        <w:ind w:left="360"/>
        <w:rPr>
          <w:b/>
          <w:bCs/>
        </w:rPr>
      </w:pPr>
      <w:r w:rsidRPr="00CD28EB">
        <w:rPr>
          <w:b/>
          <w:bCs/>
        </w:rPr>
        <w:t>References</w:t>
      </w:r>
    </w:p>
    <w:p w:rsidR="0097341F" w:rsidRPr="0097341F" w:rsidRDefault="0097341F" w:rsidP="0097341F">
      <w:pPr>
        <w:pStyle w:val="Heading1"/>
        <w:ind w:left="360"/>
        <w:jc w:val="left"/>
        <w:rPr>
          <w:rFonts w:ascii="Times New Roman" w:hAnsi="Times New Roman"/>
          <w:color w:val="auto"/>
          <w:sz w:val="8"/>
          <w:szCs w:val="8"/>
        </w:rPr>
      </w:pPr>
      <w:bookmarkStart w:id="0" w:name="_Subsection_(f)_of"/>
      <w:bookmarkEnd w:id="0"/>
    </w:p>
    <w:p w:rsidR="00453BD8" w:rsidRPr="00453BD8" w:rsidRDefault="00453BD8" w:rsidP="0097341F">
      <w:pPr>
        <w:pStyle w:val="Heading1"/>
        <w:ind w:left="360"/>
        <w:jc w:val="left"/>
        <w:rPr>
          <w:rFonts w:ascii="Times New Roman" w:hAnsi="Times New Roman"/>
          <w:color w:val="auto"/>
          <w:sz w:val="24"/>
          <w:szCs w:val="24"/>
        </w:rPr>
      </w:pPr>
      <w:r w:rsidRPr="00453BD8">
        <w:rPr>
          <w:rFonts w:ascii="Times New Roman" w:hAnsi="Times New Roman"/>
          <w:color w:val="auto"/>
          <w:sz w:val="24"/>
          <w:szCs w:val="24"/>
        </w:rPr>
        <w:t>Subsection (f) of section 17a-238 of the Connecticut General Statutes</w:t>
      </w:r>
    </w:p>
    <w:p w:rsidR="00453BD8" w:rsidRPr="00453BD8" w:rsidRDefault="00453BD8" w:rsidP="00453BD8">
      <w:pPr>
        <w:ind w:firstLine="360"/>
        <w:rPr>
          <w:rFonts w:ascii="Times New Roman" w:hAnsi="Times New Roman"/>
          <w:sz w:val="8"/>
          <w:szCs w:val="8"/>
        </w:rPr>
      </w:pPr>
    </w:p>
    <w:p w:rsidR="00950A8F" w:rsidRDefault="00453BD8" w:rsidP="00453BD8">
      <w:pPr>
        <w:ind w:left="720"/>
        <w:rPr>
          <w:rFonts w:ascii="Times New Roman" w:hAnsi="Times New Roman"/>
          <w:szCs w:val="24"/>
        </w:rPr>
      </w:pPr>
      <w:r w:rsidRPr="00453BD8">
        <w:rPr>
          <w:rFonts w:ascii="Times New Roman" w:hAnsi="Times New Roman"/>
          <w:szCs w:val="24"/>
        </w:rPr>
        <w:t>(f) The Commissioner of Developmental Services shall require the attending physician of any person placed or treated in a residential facility under the direction of the commissioner to obtain informed written consent from the following persons prior to authorizing any surgical procedure or any medical treatment, excluding routine medical treatment which is necessary to maintain the general health of the person or to prevent the spread of any communicable disease: (1) The person if such person is eighteen years of age or over or is legally emancipated and competent to give such consent; (2) the parent of a person under eighteen years of age who is not legally emancipated; or (3) the legal representative of a person of any age who is adjudicated unable to make informed decisions about matters relating to such person's medical care. The person whose consent is required shall be informed of the nature and consequences of the particular treatment or surgical procedure, the reasonable risks, benefits and purpose of such treatment or surgical procedure and any alternative treatment or surgical procedures which are available. The consent of any person or of any parent or legal representative of any person may be withdrawn at any time prior to the commencement of the treatment or surgical procedure. The regional or training school director having custody and control of a person living in a residential facility may authorize necessary surgery for such person where, in the opinion of the person's attending physician, the surgery is of an emergency nature and there is insufficient time to obtain the required written consent provided for in this section. The attending physician shall prepare a report describing the nature of the emergency which necessitated such surgery and shall file a copy of such report in the patient's record.</w:t>
      </w:r>
    </w:p>
    <w:p w:rsidR="00453BD8" w:rsidRPr="00950A8F" w:rsidRDefault="00453BD8" w:rsidP="00453BD8">
      <w:pPr>
        <w:ind w:firstLine="360"/>
        <w:rPr>
          <w:rFonts w:ascii="Times New Roman" w:hAnsi="Times New Roman"/>
          <w:bCs/>
          <w:szCs w:val="24"/>
        </w:rPr>
      </w:pPr>
    </w:p>
    <w:p w:rsidR="00CA5082" w:rsidRPr="00CD28EB" w:rsidRDefault="00CA5082" w:rsidP="00CD28EB">
      <w:pPr>
        <w:pStyle w:val="ListParagraph"/>
        <w:numPr>
          <w:ilvl w:val="0"/>
          <w:numId w:val="17"/>
        </w:numPr>
        <w:ind w:left="360"/>
        <w:rPr>
          <w:b/>
          <w:bCs/>
        </w:rPr>
      </w:pPr>
      <w:r w:rsidRPr="00CD28EB">
        <w:rPr>
          <w:b/>
          <w:bCs/>
        </w:rPr>
        <w:t xml:space="preserve">Attachments </w:t>
      </w:r>
    </w:p>
    <w:p w:rsidR="00CA5082" w:rsidRPr="00374332" w:rsidRDefault="00490CC9" w:rsidP="00CA5082">
      <w:pPr>
        <w:pStyle w:val="Blockquote"/>
        <w:spacing w:before="0" w:after="0"/>
        <w:rPr>
          <w:color w:val="FF0000"/>
        </w:rPr>
      </w:pPr>
      <w:r w:rsidRPr="00930434">
        <w:t>None</w:t>
      </w:r>
      <w:r w:rsidR="00930434">
        <w:t>.</w:t>
      </w:r>
    </w:p>
    <w:sectPr w:rsidR="00CA5082" w:rsidRPr="00374332" w:rsidSect="007B20D4">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288"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D37" w:rsidRDefault="00015D37" w:rsidP="00CA5082">
      <w:r>
        <w:separator/>
      </w:r>
    </w:p>
  </w:endnote>
  <w:endnote w:type="continuationSeparator" w:id="0">
    <w:p w:rsidR="00015D37" w:rsidRDefault="00015D37" w:rsidP="00CA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A2" w:rsidRDefault="00A56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423030"/>
      <w:docPartObj>
        <w:docPartGallery w:val="Page Numbers (Bottom of Page)"/>
        <w:docPartUnique/>
      </w:docPartObj>
    </w:sdtPr>
    <w:sdtEndPr>
      <w:rPr>
        <w:rFonts w:ascii="Times New Roman" w:hAnsi="Times New Roman"/>
        <w:noProof/>
      </w:rPr>
    </w:sdtEndPr>
    <w:sdtContent>
      <w:bookmarkStart w:id="1" w:name="_GoBack" w:displacedByCustomXml="prev"/>
      <w:bookmarkEnd w:id="1" w:displacedByCustomXml="prev"/>
      <w:p w:rsidR="00FC0E11" w:rsidRPr="009B7880" w:rsidRDefault="00FC0E11" w:rsidP="00FC0E11">
        <w:pPr>
          <w:rPr>
            <w:rFonts w:ascii="Times New Roman" w:hAnsi="Times New Roman"/>
            <w:color w:val="000080"/>
            <w:sz w:val="18"/>
            <w:szCs w:val="18"/>
          </w:rPr>
        </w:pPr>
        <w:r w:rsidRPr="009B7880">
          <w:rPr>
            <w:rFonts w:ascii="Times New Roman" w:hAnsi="Times New Roman"/>
            <w:sz w:val="18"/>
            <w:szCs w:val="18"/>
          </w:rPr>
          <w:t>Health Standard No.: 1</w:t>
        </w:r>
        <w:r w:rsidR="004B5FC1" w:rsidRPr="009B7880">
          <w:rPr>
            <w:rFonts w:ascii="Times New Roman" w:hAnsi="Times New Roman"/>
            <w:sz w:val="18"/>
            <w:szCs w:val="18"/>
          </w:rPr>
          <w:t>9</w:t>
        </w:r>
        <w:r w:rsidRPr="009B7880">
          <w:rPr>
            <w:rFonts w:ascii="Times New Roman" w:hAnsi="Times New Roman"/>
            <w:sz w:val="18"/>
            <w:szCs w:val="18"/>
          </w:rPr>
          <w:t>-</w:t>
        </w:r>
        <w:r w:rsidR="004B5FC1" w:rsidRPr="009B7880">
          <w:rPr>
            <w:rFonts w:ascii="Times New Roman" w:hAnsi="Times New Roman"/>
            <w:sz w:val="18"/>
            <w:szCs w:val="18"/>
          </w:rPr>
          <w:t>1</w:t>
        </w:r>
        <w:r w:rsidRPr="009B7880">
          <w:rPr>
            <w:rFonts w:ascii="Times New Roman" w:hAnsi="Times New Roman"/>
            <w:sz w:val="18"/>
            <w:szCs w:val="18"/>
          </w:rPr>
          <w:t xml:space="preserve"> </w:t>
        </w:r>
        <w:r w:rsidR="004B5FC1" w:rsidRPr="009B7880">
          <w:rPr>
            <w:rFonts w:ascii="Times New Roman" w:hAnsi="Times New Roman"/>
            <w:sz w:val="18"/>
            <w:szCs w:val="18"/>
          </w:rPr>
          <w:t>Consent Required for Medical or Dental Procedures including Emergency Surgery</w:t>
        </w:r>
      </w:p>
      <w:p w:rsidR="00FE242A" w:rsidRDefault="00F144C4">
        <w:pPr>
          <w:pStyle w:val="Footer"/>
          <w:jc w:val="center"/>
        </w:pPr>
        <w:r w:rsidRPr="00FC0E11">
          <w:rPr>
            <w:rFonts w:ascii="Times New Roman" w:hAnsi="Times New Roman"/>
          </w:rPr>
          <w:fldChar w:fldCharType="begin"/>
        </w:r>
        <w:r w:rsidRPr="00FC0E11">
          <w:rPr>
            <w:rFonts w:ascii="Times New Roman" w:hAnsi="Times New Roman"/>
          </w:rPr>
          <w:instrText xml:space="preserve"> PAGE   \* MERGEFORMAT </w:instrText>
        </w:r>
        <w:r w:rsidRPr="00FC0E11">
          <w:rPr>
            <w:rFonts w:ascii="Times New Roman" w:hAnsi="Times New Roman"/>
          </w:rPr>
          <w:fldChar w:fldCharType="separate"/>
        </w:r>
        <w:r w:rsidR="00A564A2">
          <w:rPr>
            <w:rFonts w:ascii="Times New Roman" w:hAnsi="Times New Roman"/>
            <w:noProof/>
          </w:rPr>
          <w:t>2</w:t>
        </w:r>
        <w:r w:rsidRPr="00FC0E11">
          <w:rPr>
            <w:rFonts w:ascii="Times New Roman" w:hAnsi="Times New Roman"/>
            <w:noProof/>
          </w:rPr>
          <w:fldChar w:fldCharType="end"/>
        </w:r>
      </w:p>
    </w:sdtContent>
  </w:sdt>
  <w:p w:rsidR="00FE242A" w:rsidRDefault="00A56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A8F" w:rsidRPr="00965254" w:rsidRDefault="00950A8F" w:rsidP="00950A8F">
    <w:pPr>
      <w:rPr>
        <w:rFonts w:ascii="Times New Roman" w:hAnsi="Times New Roman"/>
        <w:color w:val="000080"/>
        <w:sz w:val="18"/>
        <w:szCs w:val="18"/>
      </w:rPr>
    </w:pPr>
    <w:r w:rsidRPr="00965254">
      <w:rPr>
        <w:rFonts w:ascii="Times New Roman" w:hAnsi="Times New Roman"/>
        <w:sz w:val="18"/>
        <w:szCs w:val="18"/>
      </w:rPr>
      <w:t>Health Standard No.: 1</w:t>
    </w:r>
    <w:r w:rsidR="00965254" w:rsidRPr="00965254">
      <w:rPr>
        <w:rFonts w:ascii="Times New Roman" w:hAnsi="Times New Roman"/>
        <w:sz w:val="18"/>
        <w:szCs w:val="18"/>
      </w:rPr>
      <w:t>9</w:t>
    </w:r>
    <w:r w:rsidRPr="00965254">
      <w:rPr>
        <w:rFonts w:ascii="Times New Roman" w:hAnsi="Times New Roman"/>
        <w:sz w:val="18"/>
        <w:szCs w:val="18"/>
      </w:rPr>
      <w:t>-</w:t>
    </w:r>
    <w:r w:rsidR="00965254" w:rsidRPr="00965254">
      <w:rPr>
        <w:rFonts w:ascii="Times New Roman" w:hAnsi="Times New Roman"/>
        <w:sz w:val="18"/>
        <w:szCs w:val="18"/>
      </w:rPr>
      <w:t>1</w:t>
    </w:r>
    <w:r w:rsidRPr="00965254">
      <w:rPr>
        <w:rFonts w:ascii="Times New Roman" w:hAnsi="Times New Roman"/>
        <w:sz w:val="18"/>
        <w:szCs w:val="18"/>
      </w:rPr>
      <w:t xml:space="preserve"> </w:t>
    </w:r>
    <w:r w:rsidR="00965254" w:rsidRPr="00965254">
      <w:rPr>
        <w:rFonts w:ascii="Times New Roman" w:hAnsi="Times New Roman"/>
        <w:sz w:val="18"/>
        <w:szCs w:val="18"/>
      </w:rPr>
      <w:t>Consent Required for Medical or Dental Procedures including Emergency Surgery</w:t>
    </w:r>
  </w:p>
  <w:p w:rsidR="00FC0E11" w:rsidRDefault="00FC0E11" w:rsidP="00FC0E11">
    <w:pPr>
      <w:rPr>
        <w:rFonts w:ascii="Times New Roman" w:hAnsi="Times New Roman"/>
        <w:sz w:val="18"/>
        <w:szCs w:val="18"/>
      </w:rPr>
    </w:pPr>
  </w:p>
  <w:p w:rsidR="00FC0E11" w:rsidRPr="00FC0E11" w:rsidRDefault="00FC0E11" w:rsidP="00FC0E11">
    <w:pPr>
      <w:rPr>
        <w:rFonts w:ascii="Times New Roman" w:hAnsi="Times New Roman"/>
        <w:color w:val="00008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D37" w:rsidRDefault="00015D37" w:rsidP="00CA5082">
      <w:r>
        <w:separator/>
      </w:r>
    </w:p>
  </w:footnote>
  <w:footnote w:type="continuationSeparator" w:id="0">
    <w:p w:rsidR="00015D37" w:rsidRDefault="00015D37" w:rsidP="00CA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4A2" w:rsidRDefault="00A5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082"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p w:rsidR="00CA5082" w:rsidRDefault="00CA5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C" w:rsidRPr="00CA5082" w:rsidRDefault="00CA5082" w:rsidP="00CA5082">
    <w:pPr>
      <w:pStyle w:val="Header"/>
      <w:jc w:val="center"/>
      <w:rPr>
        <w:rFonts w:ascii="Times New Roman" w:hAnsi="Times New Roman"/>
        <w:b/>
      </w:rPr>
    </w:pPr>
    <w:r w:rsidRPr="00CA5082">
      <w:rPr>
        <w:rFonts w:ascii="Times New Roman" w:hAnsi="Times New Roman"/>
        <w:b/>
      </w:rPr>
      <w:t>STATE OF CONNECTICUT</w:t>
    </w:r>
  </w:p>
  <w:p w:rsidR="00CA5082" w:rsidRPr="00CA5082" w:rsidRDefault="00CA5082" w:rsidP="00CA5082">
    <w:pPr>
      <w:pStyle w:val="Header"/>
      <w:jc w:val="center"/>
      <w:rPr>
        <w:rFonts w:ascii="Times New Roman" w:hAnsi="Times New Roman"/>
        <w:b/>
      </w:rPr>
    </w:pPr>
    <w:r w:rsidRPr="00CA5082">
      <w:rPr>
        <w:rFonts w:ascii="Times New Roman" w:hAnsi="Times New Roman"/>
        <w:b/>
      </w:rPr>
      <w:t>DEPARTMENT OF DEVELOPMENTAL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632"/>
    <w:multiLevelType w:val="hybridMultilevel"/>
    <w:tmpl w:val="16BA48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102B94"/>
    <w:multiLevelType w:val="hybridMultilevel"/>
    <w:tmpl w:val="77DCA026"/>
    <w:lvl w:ilvl="0" w:tplc="0409000F">
      <w:start w:val="1"/>
      <w:numFmt w:val="decimal"/>
      <w:lvlText w:val="%1."/>
      <w:lvlJc w:val="left"/>
      <w:pPr>
        <w:tabs>
          <w:tab w:val="num" w:pos="1800"/>
        </w:tabs>
        <w:ind w:left="1800" w:hanging="360"/>
      </w:pPr>
    </w:lvl>
    <w:lvl w:ilvl="1" w:tplc="B2145250">
      <w:start w:val="1"/>
      <w:numFmt w:val="upperLetter"/>
      <w:lvlText w:val="%2."/>
      <w:lvlJc w:val="left"/>
      <w:pPr>
        <w:tabs>
          <w:tab w:val="num" w:pos="2520"/>
        </w:tabs>
        <w:ind w:left="2520" w:hanging="360"/>
      </w:pPr>
      <w:rPr>
        <w:rFonts w:ascii="Times New Roman" w:hAnsi="Times New Roman" w:hint="default"/>
        <w:i w:val="0"/>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3836893"/>
    <w:multiLevelType w:val="hybridMultilevel"/>
    <w:tmpl w:val="D97A9E74"/>
    <w:lvl w:ilvl="0" w:tplc="04090013">
      <w:start w:val="1"/>
      <w:numFmt w:val="upperRoman"/>
      <w:lvlText w:val="%1."/>
      <w:lvlJc w:val="right"/>
      <w:pPr>
        <w:ind w:left="720" w:hanging="360"/>
      </w:pPr>
    </w:lvl>
    <w:lvl w:ilvl="1" w:tplc="3B9C4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55B47"/>
    <w:multiLevelType w:val="hybridMultilevel"/>
    <w:tmpl w:val="082E09F6"/>
    <w:lvl w:ilvl="0" w:tplc="0409000F">
      <w:start w:val="1"/>
      <w:numFmt w:val="decimal"/>
      <w:lvlText w:val="%1."/>
      <w:lvlJc w:val="left"/>
      <w:pPr>
        <w:tabs>
          <w:tab w:val="num" w:pos="1800"/>
        </w:tabs>
        <w:ind w:left="1800" w:hanging="360"/>
      </w:pPr>
    </w:lvl>
    <w:lvl w:ilvl="1" w:tplc="04090005">
      <w:start w:val="1"/>
      <w:numFmt w:val="bullet"/>
      <w:lvlText w:val=""/>
      <w:lvlJc w:val="left"/>
      <w:pPr>
        <w:tabs>
          <w:tab w:val="num" w:pos="2520"/>
        </w:tabs>
        <w:ind w:left="2520" w:hanging="360"/>
      </w:pPr>
      <w:rPr>
        <w:rFonts w:ascii="Wingdings" w:hAnsi="Wingdings" w:hint="default"/>
      </w:rPr>
    </w:lvl>
    <w:lvl w:ilvl="2" w:tplc="00028C6E">
      <w:start w:val="4"/>
      <w:numFmt w:val="upperLetter"/>
      <w:lvlText w:val="%3."/>
      <w:lvlJc w:val="left"/>
      <w:pPr>
        <w:tabs>
          <w:tab w:val="num" w:pos="3450"/>
        </w:tabs>
        <w:ind w:left="3450" w:hanging="39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A0E7BD3"/>
    <w:multiLevelType w:val="hybridMultilevel"/>
    <w:tmpl w:val="5D805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F7C55"/>
    <w:multiLevelType w:val="hybridMultilevel"/>
    <w:tmpl w:val="140C66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ACB5258"/>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F46080"/>
    <w:multiLevelType w:val="hybridMultilevel"/>
    <w:tmpl w:val="BC3CE5F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C177EED"/>
    <w:multiLevelType w:val="hybridMultilevel"/>
    <w:tmpl w:val="2C6469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3">
      <w:start w:val="1"/>
      <w:numFmt w:val="upperRoman"/>
      <w:lvlText w:val="%5."/>
      <w:lvlJc w:val="righ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0C4042"/>
    <w:multiLevelType w:val="hybridMultilevel"/>
    <w:tmpl w:val="BA083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9D0541"/>
    <w:multiLevelType w:val="hybridMultilevel"/>
    <w:tmpl w:val="7FDEFF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474481"/>
    <w:multiLevelType w:val="hybridMultilevel"/>
    <w:tmpl w:val="BF942278"/>
    <w:lvl w:ilvl="0" w:tplc="AC3E3CBA">
      <w:start w:val="1"/>
      <w:numFmt w:val="lowerLetter"/>
      <w:lvlText w:val="%1."/>
      <w:lvlJc w:val="left"/>
      <w:pPr>
        <w:tabs>
          <w:tab w:val="num" w:pos="2520"/>
        </w:tabs>
        <w:ind w:left="2520" w:hanging="360"/>
      </w:pPr>
      <w:rPr>
        <w:rFonts w:hint="default"/>
        <w:i w:val="0"/>
      </w:rPr>
    </w:lvl>
    <w:lvl w:ilvl="1" w:tplc="C278F9BA">
      <w:start w:val="3"/>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EEB0986C">
      <w:start w:val="4"/>
      <w:numFmt w:val="upperRoman"/>
      <w:lvlText w:val="%5."/>
      <w:lvlJc w:val="left"/>
      <w:pPr>
        <w:tabs>
          <w:tab w:val="num" w:pos="3240"/>
        </w:tabs>
        <w:ind w:left="3240" w:hanging="720"/>
      </w:pPr>
      <w:rPr>
        <w:rFonts w:hint="default"/>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5702C88"/>
    <w:multiLevelType w:val="hybridMultilevel"/>
    <w:tmpl w:val="1864F4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8B2EB2"/>
    <w:multiLevelType w:val="hybridMultilevel"/>
    <w:tmpl w:val="291A24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6468F"/>
    <w:multiLevelType w:val="hybridMultilevel"/>
    <w:tmpl w:val="4F2E172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CA01D4"/>
    <w:multiLevelType w:val="hybridMultilevel"/>
    <w:tmpl w:val="032055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8AB66DB"/>
    <w:multiLevelType w:val="hybridMultilevel"/>
    <w:tmpl w:val="7F844A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47297A"/>
    <w:multiLevelType w:val="hybridMultilevel"/>
    <w:tmpl w:val="C56423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E237AC"/>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4EC00A6"/>
    <w:multiLevelType w:val="hybridMultilevel"/>
    <w:tmpl w:val="396C53CE"/>
    <w:lvl w:ilvl="0" w:tplc="0409000F">
      <w:start w:val="1"/>
      <w:numFmt w:val="decimal"/>
      <w:lvlText w:val="%1."/>
      <w:lvlJc w:val="left"/>
      <w:pPr>
        <w:ind w:left="720" w:hanging="360"/>
      </w:pPr>
    </w:lvl>
    <w:lvl w:ilvl="1" w:tplc="3B9C411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634DCF"/>
    <w:multiLevelType w:val="hybridMultilevel"/>
    <w:tmpl w:val="664E4072"/>
    <w:lvl w:ilvl="0" w:tplc="B2145250">
      <w:start w:val="1"/>
      <w:numFmt w:val="upperLetter"/>
      <w:lvlText w:val="%1."/>
      <w:lvlJc w:val="left"/>
      <w:pPr>
        <w:tabs>
          <w:tab w:val="num" w:pos="2520"/>
        </w:tabs>
        <w:ind w:left="2520" w:hanging="360"/>
      </w:pPr>
      <w:rPr>
        <w:rFonts w:ascii="Times New Roman" w:hAnsi="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DD0C74"/>
    <w:multiLevelType w:val="hybridMultilevel"/>
    <w:tmpl w:val="56B4AE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227309"/>
    <w:multiLevelType w:val="hybridMultilevel"/>
    <w:tmpl w:val="E224FA6C"/>
    <w:lvl w:ilvl="0" w:tplc="04090015">
      <w:start w:val="1"/>
      <w:numFmt w:val="upperLetter"/>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3DA93A70"/>
    <w:multiLevelType w:val="hybridMultilevel"/>
    <w:tmpl w:val="4D0AF7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3DF46B1A"/>
    <w:multiLevelType w:val="hybridMultilevel"/>
    <w:tmpl w:val="1BFE4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41408B"/>
    <w:multiLevelType w:val="hybridMultilevel"/>
    <w:tmpl w:val="AA1690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56B74"/>
    <w:multiLevelType w:val="hybridMultilevel"/>
    <w:tmpl w:val="8B526858"/>
    <w:lvl w:ilvl="0" w:tplc="749AD11C">
      <w:start w:val="2"/>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32D493D"/>
    <w:multiLevelType w:val="hybridMultilevel"/>
    <w:tmpl w:val="C3066B5C"/>
    <w:lvl w:ilvl="0" w:tplc="04090015">
      <w:start w:val="1"/>
      <w:numFmt w:val="upp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8">
    <w:nsid w:val="45C12EBB"/>
    <w:multiLevelType w:val="hybridMultilevel"/>
    <w:tmpl w:val="0F5A2D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131A48"/>
    <w:multiLevelType w:val="hybridMultilevel"/>
    <w:tmpl w:val="BE8C72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5C42A9"/>
    <w:multiLevelType w:val="hybridMultilevel"/>
    <w:tmpl w:val="347CFD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5F3AEE"/>
    <w:multiLevelType w:val="hybridMultilevel"/>
    <w:tmpl w:val="166EE9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6B683A"/>
    <w:multiLevelType w:val="hybridMultilevel"/>
    <w:tmpl w:val="AA308B2E"/>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9624AE"/>
    <w:multiLevelType w:val="hybridMultilevel"/>
    <w:tmpl w:val="BEF8C1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C17CFF"/>
    <w:multiLevelType w:val="hybridMultilevel"/>
    <w:tmpl w:val="215408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466E71"/>
    <w:multiLevelType w:val="hybridMultilevel"/>
    <w:tmpl w:val="67E4F274"/>
    <w:lvl w:ilvl="0" w:tplc="18D2842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4BE07CB"/>
    <w:multiLevelType w:val="hybridMultilevel"/>
    <w:tmpl w:val="99A603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033A7B"/>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7211956"/>
    <w:multiLevelType w:val="hybridMultilevel"/>
    <w:tmpl w:val="4CB89E2A"/>
    <w:lvl w:ilvl="0" w:tplc="67C20FEA">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9">
    <w:nsid w:val="69732FE2"/>
    <w:multiLevelType w:val="hybridMultilevel"/>
    <w:tmpl w:val="5B22C320"/>
    <w:lvl w:ilvl="0" w:tplc="B2145250">
      <w:start w:val="1"/>
      <w:numFmt w:val="upperLetter"/>
      <w:lvlText w:val="%1."/>
      <w:lvlJc w:val="left"/>
      <w:pPr>
        <w:tabs>
          <w:tab w:val="num" w:pos="1080"/>
        </w:tabs>
        <w:ind w:left="1080" w:hanging="360"/>
      </w:pPr>
      <w:rPr>
        <w:rFonts w:ascii="Times New Roman" w:hAnsi="Times New Roman" w:hint="default"/>
        <w:i w:val="0"/>
      </w:rPr>
    </w:lvl>
    <w:lvl w:ilvl="1" w:tplc="CE30B5A6">
      <w:start w:val="1"/>
      <w:numFmt w:val="lowerRoman"/>
      <w:lvlText w:val="%2)"/>
      <w:lvlJc w:val="left"/>
      <w:pPr>
        <w:tabs>
          <w:tab w:val="num" w:pos="2160"/>
        </w:tabs>
        <w:ind w:left="2160" w:hanging="720"/>
      </w:pPr>
      <w:rPr>
        <w:rFonts w:hint="default"/>
      </w:rPr>
    </w:lvl>
    <w:lvl w:ilvl="2" w:tplc="67C20FEA">
      <w:start w:val="1"/>
      <w:numFmt w:val="lowerLetter"/>
      <w:lvlText w:val="%3."/>
      <w:lvlJc w:val="left"/>
      <w:pPr>
        <w:tabs>
          <w:tab w:val="num" w:pos="2700"/>
        </w:tabs>
        <w:ind w:left="2700" w:hanging="360"/>
      </w:pPr>
      <w:rPr>
        <w:rFonts w:hint="default"/>
      </w:rPr>
    </w:lvl>
    <w:lvl w:ilvl="3" w:tplc="D3C012F2">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DB2E63"/>
    <w:multiLevelType w:val="hybridMultilevel"/>
    <w:tmpl w:val="A4248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626DF8"/>
    <w:multiLevelType w:val="hybridMultilevel"/>
    <w:tmpl w:val="320A2A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C1D5A5D"/>
    <w:multiLevelType w:val="hybridMultilevel"/>
    <w:tmpl w:val="F5B25C7E"/>
    <w:lvl w:ilvl="0" w:tplc="E8CA515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3C6F3D"/>
    <w:multiLevelType w:val="hybridMultilevel"/>
    <w:tmpl w:val="868AF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2B7B0C"/>
    <w:multiLevelType w:val="hybridMultilevel"/>
    <w:tmpl w:val="FDCC3F28"/>
    <w:lvl w:ilvl="0" w:tplc="700AA074">
      <w:start w:val="1"/>
      <w:numFmt w:val="lowerLetter"/>
      <w:lvlText w:val="%1."/>
      <w:lvlJc w:val="left"/>
      <w:pPr>
        <w:tabs>
          <w:tab w:val="num" w:pos="2610"/>
        </w:tabs>
        <w:ind w:left="2610" w:hanging="360"/>
      </w:pPr>
      <w:rPr>
        <w:rFonts w:hint="default"/>
        <w:i w:val="0"/>
        <w:strike w:val="0"/>
      </w:rPr>
    </w:lvl>
    <w:lvl w:ilvl="1" w:tplc="CE30B5A6">
      <w:start w:val="1"/>
      <w:numFmt w:val="lowerRoman"/>
      <w:lvlText w:val="%2)"/>
      <w:lvlJc w:val="left"/>
      <w:pPr>
        <w:tabs>
          <w:tab w:val="num" w:pos="3690"/>
        </w:tabs>
        <w:ind w:left="3690" w:hanging="720"/>
      </w:pPr>
      <w:rPr>
        <w:rFonts w:hint="default"/>
      </w:rPr>
    </w:lvl>
    <w:lvl w:ilvl="2" w:tplc="67C20FEA">
      <w:start w:val="1"/>
      <w:numFmt w:val="lowerLetter"/>
      <w:lvlText w:val="%3."/>
      <w:lvlJc w:val="left"/>
      <w:pPr>
        <w:tabs>
          <w:tab w:val="num" w:pos="4230"/>
        </w:tabs>
        <w:ind w:left="4230" w:hanging="360"/>
      </w:pPr>
      <w:rPr>
        <w:rFonts w:hint="default"/>
      </w:rPr>
    </w:lvl>
    <w:lvl w:ilvl="3" w:tplc="D3C012F2">
      <w:start w:val="1"/>
      <w:numFmt w:val="decimal"/>
      <w:lvlText w:val="%4."/>
      <w:lvlJc w:val="left"/>
      <w:pPr>
        <w:tabs>
          <w:tab w:val="num" w:pos="4770"/>
        </w:tabs>
        <w:ind w:left="4770" w:hanging="360"/>
      </w:pPr>
      <w:rPr>
        <w:rFonts w:hint="default"/>
      </w:rPr>
    </w:lvl>
    <w:lvl w:ilvl="4" w:tplc="04090019">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5">
    <w:nsid w:val="71924839"/>
    <w:multiLevelType w:val="hybridMultilevel"/>
    <w:tmpl w:val="F84CF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5AB"/>
    <w:multiLevelType w:val="hybridMultilevel"/>
    <w:tmpl w:val="DF7ADA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A02F36"/>
    <w:multiLevelType w:val="hybridMultilevel"/>
    <w:tmpl w:val="811A5F9A"/>
    <w:lvl w:ilvl="0" w:tplc="509AAB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98789F"/>
    <w:multiLevelType w:val="multilevel"/>
    <w:tmpl w:val="7E5E7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
  </w:num>
  <w:num w:numId="3">
    <w:abstractNumId w:val="3"/>
  </w:num>
  <w:num w:numId="4">
    <w:abstractNumId w:val="26"/>
  </w:num>
  <w:num w:numId="5">
    <w:abstractNumId w:val="41"/>
  </w:num>
  <w:num w:numId="6">
    <w:abstractNumId w:val="38"/>
  </w:num>
  <w:num w:numId="7">
    <w:abstractNumId w:val="37"/>
  </w:num>
  <w:num w:numId="8">
    <w:abstractNumId w:val="18"/>
  </w:num>
  <w:num w:numId="9">
    <w:abstractNumId w:val="15"/>
  </w:num>
  <w:num w:numId="10">
    <w:abstractNumId w:val="23"/>
  </w:num>
  <w:num w:numId="11">
    <w:abstractNumId w:val="11"/>
  </w:num>
  <w:num w:numId="12">
    <w:abstractNumId w:val="44"/>
  </w:num>
  <w:num w:numId="13">
    <w:abstractNumId w:val="14"/>
  </w:num>
  <w:num w:numId="14">
    <w:abstractNumId w:val="20"/>
  </w:num>
  <w:num w:numId="15">
    <w:abstractNumId w:val="32"/>
  </w:num>
  <w:num w:numId="16">
    <w:abstractNumId w:val="6"/>
  </w:num>
  <w:num w:numId="17">
    <w:abstractNumId w:val="21"/>
  </w:num>
  <w:num w:numId="18">
    <w:abstractNumId w:val="34"/>
  </w:num>
  <w:num w:numId="19">
    <w:abstractNumId w:val="24"/>
  </w:num>
  <w:num w:numId="20">
    <w:abstractNumId w:val="43"/>
  </w:num>
  <w:num w:numId="21">
    <w:abstractNumId w:val="28"/>
  </w:num>
  <w:num w:numId="22">
    <w:abstractNumId w:val="31"/>
  </w:num>
  <w:num w:numId="23">
    <w:abstractNumId w:val="2"/>
  </w:num>
  <w:num w:numId="24">
    <w:abstractNumId w:val="47"/>
  </w:num>
  <w:num w:numId="25">
    <w:abstractNumId w:val="10"/>
  </w:num>
  <w:num w:numId="26">
    <w:abstractNumId w:val="17"/>
  </w:num>
  <w:num w:numId="27">
    <w:abstractNumId w:val="25"/>
  </w:num>
  <w:num w:numId="28">
    <w:abstractNumId w:val="8"/>
  </w:num>
  <w:num w:numId="29">
    <w:abstractNumId w:val="16"/>
  </w:num>
  <w:num w:numId="30">
    <w:abstractNumId w:val="30"/>
  </w:num>
  <w:num w:numId="31">
    <w:abstractNumId w:val="29"/>
  </w:num>
  <w:num w:numId="32">
    <w:abstractNumId w:val="33"/>
  </w:num>
  <w:num w:numId="33">
    <w:abstractNumId w:val="5"/>
  </w:num>
  <w:num w:numId="34">
    <w:abstractNumId w:val="7"/>
  </w:num>
  <w:num w:numId="35">
    <w:abstractNumId w:val="35"/>
  </w:num>
  <w:num w:numId="36">
    <w:abstractNumId w:val="13"/>
  </w:num>
  <w:num w:numId="37">
    <w:abstractNumId w:val="40"/>
  </w:num>
  <w:num w:numId="38">
    <w:abstractNumId w:val="12"/>
  </w:num>
  <w:num w:numId="39">
    <w:abstractNumId w:val="36"/>
  </w:num>
  <w:num w:numId="40">
    <w:abstractNumId w:val="0"/>
  </w:num>
  <w:num w:numId="41">
    <w:abstractNumId w:val="9"/>
  </w:num>
  <w:num w:numId="42">
    <w:abstractNumId w:val="46"/>
  </w:num>
  <w:num w:numId="43">
    <w:abstractNumId w:val="4"/>
  </w:num>
  <w:num w:numId="44">
    <w:abstractNumId w:val="27"/>
  </w:num>
  <w:num w:numId="45">
    <w:abstractNumId w:val="42"/>
  </w:num>
  <w:num w:numId="46">
    <w:abstractNumId w:val="22"/>
  </w:num>
  <w:num w:numId="47">
    <w:abstractNumId w:val="48"/>
  </w:num>
  <w:num w:numId="48">
    <w:abstractNumId w:val="19"/>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82"/>
    <w:rsid w:val="000152A5"/>
    <w:rsid w:val="000152AC"/>
    <w:rsid w:val="00015D37"/>
    <w:rsid w:val="000218C6"/>
    <w:rsid w:val="0004104D"/>
    <w:rsid w:val="0004323D"/>
    <w:rsid w:val="00066F0A"/>
    <w:rsid w:val="00082EDB"/>
    <w:rsid w:val="00090F31"/>
    <w:rsid w:val="000919D3"/>
    <w:rsid w:val="000B3D37"/>
    <w:rsid w:val="000D5956"/>
    <w:rsid w:val="000D6F21"/>
    <w:rsid w:val="000F3A89"/>
    <w:rsid w:val="00120D08"/>
    <w:rsid w:val="00123BA4"/>
    <w:rsid w:val="00133E61"/>
    <w:rsid w:val="001808A6"/>
    <w:rsid w:val="001970F3"/>
    <w:rsid w:val="001D262D"/>
    <w:rsid w:val="001F2C73"/>
    <w:rsid w:val="00213C0B"/>
    <w:rsid w:val="00232B91"/>
    <w:rsid w:val="002501EA"/>
    <w:rsid w:val="00253A9D"/>
    <w:rsid w:val="002F1429"/>
    <w:rsid w:val="002F1DC5"/>
    <w:rsid w:val="002F71D8"/>
    <w:rsid w:val="00343F2F"/>
    <w:rsid w:val="00374332"/>
    <w:rsid w:val="003B618A"/>
    <w:rsid w:val="003B7B55"/>
    <w:rsid w:val="003C2051"/>
    <w:rsid w:val="00413AB5"/>
    <w:rsid w:val="00453BD8"/>
    <w:rsid w:val="0047066D"/>
    <w:rsid w:val="00490A39"/>
    <w:rsid w:val="00490CC9"/>
    <w:rsid w:val="004960F3"/>
    <w:rsid w:val="004A3880"/>
    <w:rsid w:val="004B5FC1"/>
    <w:rsid w:val="004C248C"/>
    <w:rsid w:val="004D48EF"/>
    <w:rsid w:val="004D5BD8"/>
    <w:rsid w:val="004F0A43"/>
    <w:rsid w:val="00512B4B"/>
    <w:rsid w:val="005279F7"/>
    <w:rsid w:val="00555163"/>
    <w:rsid w:val="0059478C"/>
    <w:rsid w:val="005A372D"/>
    <w:rsid w:val="005A6ACC"/>
    <w:rsid w:val="005C0EF1"/>
    <w:rsid w:val="005C66C6"/>
    <w:rsid w:val="005D5574"/>
    <w:rsid w:val="005D6EE1"/>
    <w:rsid w:val="005E36EB"/>
    <w:rsid w:val="006146F9"/>
    <w:rsid w:val="00634305"/>
    <w:rsid w:val="006418E6"/>
    <w:rsid w:val="00665DAA"/>
    <w:rsid w:val="006B2A10"/>
    <w:rsid w:val="006B2F47"/>
    <w:rsid w:val="006C2765"/>
    <w:rsid w:val="006D6EBB"/>
    <w:rsid w:val="006E23FB"/>
    <w:rsid w:val="0070113D"/>
    <w:rsid w:val="00706543"/>
    <w:rsid w:val="00713264"/>
    <w:rsid w:val="007215C4"/>
    <w:rsid w:val="0073264A"/>
    <w:rsid w:val="00753C48"/>
    <w:rsid w:val="00782ADD"/>
    <w:rsid w:val="007938E2"/>
    <w:rsid w:val="00796CB0"/>
    <w:rsid w:val="007B461B"/>
    <w:rsid w:val="007D4403"/>
    <w:rsid w:val="00804A5D"/>
    <w:rsid w:val="0082113F"/>
    <w:rsid w:val="00846C56"/>
    <w:rsid w:val="00863651"/>
    <w:rsid w:val="008732D4"/>
    <w:rsid w:val="00883D3B"/>
    <w:rsid w:val="008A5177"/>
    <w:rsid w:val="008A5CDE"/>
    <w:rsid w:val="008B13B5"/>
    <w:rsid w:val="008D3074"/>
    <w:rsid w:val="008E10F0"/>
    <w:rsid w:val="008E6730"/>
    <w:rsid w:val="00901C18"/>
    <w:rsid w:val="00906FAB"/>
    <w:rsid w:val="00930434"/>
    <w:rsid w:val="00945680"/>
    <w:rsid w:val="00945768"/>
    <w:rsid w:val="00945EC5"/>
    <w:rsid w:val="00950A8F"/>
    <w:rsid w:val="00953E0C"/>
    <w:rsid w:val="00965254"/>
    <w:rsid w:val="0097341F"/>
    <w:rsid w:val="0097742E"/>
    <w:rsid w:val="009B7880"/>
    <w:rsid w:val="00A01322"/>
    <w:rsid w:val="00A04398"/>
    <w:rsid w:val="00A1191B"/>
    <w:rsid w:val="00A27D88"/>
    <w:rsid w:val="00A37B93"/>
    <w:rsid w:val="00A564A2"/>
    <w:rsid w:val="00A6464D"/>
    <w:rsid w:val="00A9056B"/>
    <w:rsid w:val="00A93378"/>
    <w:rsid w:val="00A9608A"/>
    <w:rsid w:val="00AC59B6"/>
    <w:rsid w:val="00AC67DB"/>
    <w:rsid w:val="00AD63A0"/>
    <w:rsid w:val="00B13580"/>
    <w:rsid w:val="00B15299"/>
    <w:rsid w:val="00B168B9"/>
    <w:rsid w:val="00B37755"/>
    <w:rsid w:val="00B53E13"/>
    <w:rsid w:val="00B80A41"/>
    <w:rsid w:val="00BA6793"/>
    <w:rsid w:val="00BF6CCA"/>
    <w:rsid w:val="00C03BBF"/>
    <w:rsid w:val="00C3790F"/>
    <w:rsid w:val="00C6224B"/>
    <w:rsid w:val="00C638AD"/>
    <w:rsid w:val="00C65BFC"/>
    <w:rsid w:val="00C75C8F"/>
    <w:rsid w:val="00CA427A"/>
    <w:rsid w:val="00CA5082"/>
    <w:rsid w:val="00CD1829"/>
    <w:rsid w:val="00CD28EB"/>
    <w:rsid w:val="00CF5E17"/>
    <w:rsid w:val="00D03B7C"/>
    <w:rsid w:val="00D03D2B"/>
    <w:rsid w:val="00D37595"/>
    <w:rsid w:val="00D400B1"/>
    <w:rsid w:val="00D45494"/>
    <w:rsid w:val="00D46F5E"/>
    <w:rsid w:val="00D65CBE"/>
    <w:rsid w:val="00D70218"/>
    <w:rsid w:val="00D82CFD"/>
    <w:rsid w:val="00D84F1E"/>
    <w:rsid w:val="00E07D23"/>
    <w:rsid w:val="00E17335"/>
    <w:rsid w:val="00E23D87"/>
    <w:rsid w:val="00E378FF"/>
    <w:rsid w:val="00E52577"/>
    <w:rsid w:val="00E6091E"/>
    <w:rsid w:val="00EA260B"/>
    <w:rsid w:val="00F144C4"/>
    <w:rsid w:val="00F30126"/>
    <w:rsid w:val="00F35320"/>
    <w:rsid w:val="00F456E8"/>
    <w:rsid w:val="00F56B33"/>
    <w:rsid w:val="00F712BF"/>
    <w:rsid w:val="00F71B71"/>
    <w:rsid w:val="00F74173"/>
    <w:rsid w:val="00FA5F5E"/>
    <w:rsid w:val="00FB1516"/>
    <w:rsid w:val="00FC0E11"/>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paragraph" w:customStyle="1" w:styleId="Default">
    <w:name w:val="Default"/>
    <w:rsid w:val="0052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0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8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CA5082"/>
    <w:pPr>
      <w:keepNext/>
      <w:jc w:val="center"/>
      <w:outlineLvl w:val="0"/>
    </w:pPr>
    <w:rPr>
      <w:rFonts w:ascii="Garamond" w:hAnsi="Garamond"/>
      <w:b/>
      <w:bCs/>
      <w:color w:val="000080"/>
      <w:sz w:val="28"/>
    </w:rPr>
  </w:style>
  <w:style w:type="paragraph" w:styleId="Heading2">
    <w:name w:val="heading 2"/>
    <w:basedOn w:val="Normal"/>
    <w:next w:val="Normal"/>
    <w:link w:val="Heading2Char"/>
    <w:uiPriority w:val="9"/>
    <w:semiHidden/>
    <w:unhideWhenUsed/>
    <w:qFormat/>
    <w:rsid w:val="00CA50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A508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082"/>
    <w:rPr>
      <w:rFonts w:ascii="Garamond" w:eastAsia="Times New Roman" w:hAnsi="Garamond" w:cs="Times New Roman"/>
      <w:b/>
      <w:bCs/>
      <w:color w:val="000080"/>
      <w:sz w:val="28"/>
      <w:szCs w:val="20"/>
    </w:rPr>
  </w:style>
  <w:style w:type="character" w:styleId="Hyperlink">
    <w:name w:val="Hyperlink"/>
    <w:semiHidden/>
    <w:rsid w:val="00CA5082"/>
    <w:rPr>
      <w:color w:val="0000FF"/>
      <w:u w:val="single"/>
    </w:rPr>
  </w:style>
  <w:style w:type="paragraph" w:styleId="Header">
    <w:name w:val="header"/>
    <w:basedOn w:val="Normal"/>
    <w:link w:val="HeaderChar"/>
    <w:semiHidden/>
    <w:rsid w:val="00CA5082"/>
    <w:pPr>
      <w:tabs>
        <w:tab w:val="center" w:pos="4320"/>
        <w:tab w:val="right" w:pos="8640"/>
      </w:tabs>
    </w:pPr>
  </w:style>
  <w:style w:type="character" w:customStyle="1" w:styleId="HeaderChar">
    <w:name w:val="Header Char"/>
    <w:basedOn w:val="DefaultParagraphFont"/>
    <w:link w:val="Header"/>
    <w:semiHidden/>
    <w:rsid w:val="00CA5082"/>
    <w:rPr>
      <w:rFonts w:ascii="Arial" w:eastAsia="Times New Roman" w:hAnsi="Arial" w:cs="Times New Roman"/>
      <w:sz w:val="24"/>
      <w:szCs w:val="20"/>
    </w:rPr>
  </w:style>
  <w:style w:type="paragraph" w:styleId="Footer">
    <w:name w:val="footer"/>
    <w:basedOn w:val="Normal"/>
    <w:link w:val="FooterChar"/>
    <w:uiPriority w:val="99"/>
    <w:rsid w:val="00CA5082"/>
    <w:pPr>
      <w:tabs>
        <w:tab w:val="center" w:pos="4320"/>
        <w:tab w:val="right" w:pos="8640"/>
      </w:tabs>
    </w:pPr>
  </w:style>
  <w:style w:type="character" w:customStyle="1" w:styleId="FooterChar">
    <w:name w:val="Footer Char"/>
    <w:basedOn w:val="DefaultParagraphFont"/>
    <w:link w:val="Footer"/>
    <w:uiPriority w:val="99"/>
    <w:rsid w:val="00CA5082"/>
    <w:rPr>
      <w:rFonts w:ascii="Arial" w:eastAsia="Times New Roman" w:hAnsi="Arial" w:cs="Times New Roman"/>
      <w:sz w:val="24"/>
      <w:szCs w:val="20"/>
    </w:rPr>
  </w:style>
  <w:style w:type="paragraph" w:styleId="Title">
    <w:name w:val="Title"/>
    <w:basedOn w:val="Normal"/>
    <w:link w:val="TitleChar"/>
    <w:qFormat/>
    <w:rsid w:val="00CA5082"/>
    <w:pPr>
      <w:jc w:val="center"/>
    </w:pPr>
    <w:rPr>
      <w:rFonts w:cs="Arial"/>
      <w:sz w:val="32"/>
      <w:szCs w:val="24"/>
    </w:rPr>
  </w:style>
  <w:style w:type="character" w:customStyle="1" w:styleId="TitleChar">
    <w:name w:val="Title Char"/>
    <w:basedOn w:val="DefaultParagraphFont"/>
    <w:link w:val="Title"/>
    <w:rsid w:val="00CA5082"/>
    <w:rPr>
      <w:rFonts w:ascii="Arial" w:eastAsia="Times New Roman" w:hAnsi="Arial" w:cs="Arial"/>
      <w:sz w:val="32"/>
      <w:szCs w:val="24"/>
    </w:rPr>
  </w:style>
  <w:style w:type="paragraph" w:customStyle="1" w:styleId="H2">
    <w:name w:val="H2"/>
    <w:basedOn w:val="Normal"/>
    <w:next w:val="Normal"/>
    <w:rsid w:val="00CA5082"/>
    <w:pPr>
      <w:keepNext/>
      <w:autoSpaceDE w:val="0"/>
      <w:autoSpaceDN w:val="0"/>
      <w:adjustRightInd w:val="0"/>
      <w:spacing w:before="100" w:after="100"/>
      <w:outlineLvl w:val="2"/>
    </w:pPr>
    <w:rPr>
      <w:rFonts w:ascii="Times New Roman" w:hAnsi="Times New Roman"/>
      <w:b/>
      <w:bCs/>
      <w:sz w:val="36"/>
      <w:szCs w:val="36"/>
    </w:rPr>
  </w:style>
  <w:style w:type="paragraph" w:customStyle="1" w:styleId="H3">
    <w:name w:val="H3"/>
    <w:basedOn w:val="Normal"/>
    <w:next w:val="Normal"/>
    <w:rsid w:val="00CA5082"/>
    <w:pPr>
      <w:keepNext/>
      <w:autoSpaceDE w:val="0"/>
      <w:autoSpaceDN w:val="0"/>
      <w:adjustRightInd w:val="0"/>
      <w:spacing w:before="100" w:after="100"/>
      <w:outlineLvl w:val="3"/>
    </w:pPr>
    <w:rPr>
      <w:rFonts w:ascii="Times New Roman" w:hAnsi="Times New Roman"/>
      <w:b/>
      <w:bCs/>
      <w:sz w:val="28"/>
      <w:szCs w:val="28"/>
    </w:rPr>
  </w:style>
  <w:style w:type="paragraph" w:customStyle="1" w:styleId="Blockquote">
    <w:name w:val="Blockquote"/>
    <w:basedOn w:val="Normal"/>
    <w:rsid w:val="00CA5082"/>
    <w:pPr>
      <w:autoSpaceDE w:val="0"/>
      <w:autoSpaceDN w:val="0"/>
      <w:adjustRightInd w:val="0"/>
      <w:spacing w:before="100" w:after="100"/>
      <w:ind w:left="360" w:right="360"/>
    </w:pPr>
    <w:rPr>
      <w:rFonts w:ascii="Times New Roman" w:hAnsi="Times New Roman"/>
      <w:szCs w:val="24"/>
    </w:rPr>
  </w:style>
  <w:style w:type="paragraph" w:styleId="BodyTextIndent">
    <w:name w:val="Body Text Indent"/>
    <w:basedOn w:val="Normal"/>
    <w:link w:val="BodyTextIndentChar"/>
    <w:semiHidden/>
    <w:rsid w:val="00CA5082"/>
    <w:pPr>
      <w:ind w:left="720"/>
    </w:pPr>
    <w:rPr>
      <w:rFonts w:ascii="Times New Roman" w:hAnsi="Times New Roman"/>
      <w:sz w:val="22"/>
      <w:szCs w:val="24"/>
    </w:rPr>
  </w:style>
  <w:style w:type="character" w:customStyle="1" w:styleId="BodyTextIndentChar">
    <w:name w:val="Body Text Indent Char"/>
    <w:basedOn w:val="DefaultParagraphFont"/>
    <w:link w:val="BodyTextIndent"/>
    <w:semiHidden/>
    <w:rsid w:val="00CA5082"/>
    <w:rPr>
      <w:rFonts w:ascii="Times New Roman" w:eastAsia="Times New Roman" w:hAnsi="Times New Roman" w:cs="Times New Roman"/>
      <w:szCs w:val="24"/>
    </w:rPr>
  </w:style>
  <w:style w:type="paragraph" w:styleId="ListParagraph">
    <w:name w:val="List Paragraph"/>
    <w:basedOn w:val="Normal"/>
    <w:uiPriority w:val="34"/>
    <w:qFormat/>
    <w:rsid w:val="00CA5082"/>
    <w:pPr>
      <w:ind w:left="720"/>
    </w:pPr>
    <w:rPr>
      <w:rFonts w:ascii="Times New Roman" w:hAnsi="Times New Roman"/>
      <w:szCs w:val="24"/>
    </w:rPr>
  </w:style>
  <w:style w:type="paragraph" w:styleId="NoSpacing">
    <w:name w:val="No Spacing"/>
    <w:uiPriority w:val="1"/>
    <w:qFormat/>
    <w:rsid w:val="00CA5082"/>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semiHidden/>
    <w:rsid w:val="00CA5082"/>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CA5082"/>
    <w:rPr>
      <w:rFonts w:asciiTheme="majorHAnsi" w:eastAsiaTheme="majorEastAsia" w:hAnsiTheme="majorHAnsi" w:cstheme="majorBidi"/>
      <w:b/>
      <w:bCs/>
      <w:i/>
      <w:iCs/>
      <w:color w:val="4F81BD" w:themeColor="accent1"/>
      <w:sz w:val="24"/>
      <w:szCs w:val="20"/>
    </w:rPr>
  </w:style>
  <w:style w:type="paragraph" w:customStyle="1" w:styleId="Default">
    <w:name w:val="Default"/>
    <w:rsid w:val="005279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50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d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lencia.Bagby-Young@ct.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OConnorRo</dc:creator>
  <cp:lastModifiedBy>O'Connor, Rod</cp:lastModifiedBy>
  <cp:revision>5</cp:revision>
  <cp:lastPrinted>2016-08-29T14:30:00Z</cp:lastPrinted>
  <dcterms:created xsi:type="dcterms:W3CDTF">2019-08-29T12:50:00Z</dcterms:created>
  <dcterms:modified xsi:type="dcterms:W3CDTF">2020-02-10T17:47:00Z</dcterms:modified>
</cp:coreProperties>
</file>