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86" w:rsidRPr="00BB0358" w:rsidRDefault="00896086" w:rsidP="003E11CA">
      <w:pPr>
        <w:pStyle w:val="SpecHead1"/>
        <w:spacing w:before="0"/>
        <w:rPr>
          <w:rFonts w:eastAsiaTheme="minorHAnsi"/>
          <w:sz w:val="28"/>
          <w:szCs w:val="28"/>
        </w:rPr>
      </w:pPr>
      <w:r w:rsidRPr="00BB0358">
        <w:rPr>
          <w:rFonts w:eastAsiaTheme="minorHAnsi"/>
          <w:sz w:val="28"/>
          <w:szCs w:val="28"/>
        </w:rPr>
        <w:t xml:space="preserve">NOTICE TO CONTRACTOR </w:t>
      </w:r>
      <w:r w:rsidR="00C23E08">
        <w:rPr>
          <w:rFonts w:eastAsiaTheme="minorHAnsi"/>
          <w:sz w:val="28"/>
          <w:szCs w:val="28"/>
        </w:rPr>
        <w:t>-</w:t>
      </w:r>
      <w:r w:rsidRPr="00BB0358">
        <w:rPr>
          <w:rFonts w:eastAsiaTheme="minorHAnsi"/>
          <w:sz w:val="28"/>
          <w:szCs w:val="28"/>
        </w:rPr>
        <w:t xml:space="preserve"> </w:t>
      </w:r>
      <w:r w:rsidR="005E582D">
        <w:rPr>
          <w:rFonts w:eastAsiaTheme="minorHAnsi"/>
          <w:sz w:val="28"/>
          <w:szCs w:val="28"/>
        </w:rPr>
        <w:t>aRCHITECTU</w:t>
      </w:r>
      <w:r w:rsidR="001C4604">
        <w:rPr>
          <w:rFonts w:eastAsiaTheme="minorHAnsi"/>
          <w:sz w:val="28"/>
          <w:szCs w:val="28"/>
        </w:rPr>
        <w:t>R</w:t>
      </w:r>
      <w:bookmarkStart w:id="0" w:name="_GoBack"/>
      <w:bookmarkEnd w:id="0"/>
      <w:r w:rsidR="005E582D">
        <w:rPr>
          <w:rFonts w:eastAsiaTheme="minorHAnsi"/>
          <w:sz w:val="28"/>
          <w:szCs w:val="28"/>
        </w:rPr>
        <w:t>AL AND iNDUSTRIAL mAINTENANCE cOATINGS</w:t>
      </w:r>
    </w:p>
    <w:p w:rsidR="00896086" w:rsidRPr="00BB0358" w:rsidRDefault="00896086" w:rsidP="00896086">
      <w:pPr>
        <w:rPr>
          <w:rFonts w:eastAsiaTheme="minorHAnsi"/>
        </w:rPr>
      </w:pPr>
    </w:p>
    <w:p w:rsidR="00C7684C" w:rsidRPr="00BB0358" w:rsidRDefault="00CF5B98" w:rsidP="00C7684C">
      <w:pPr>
        <w:rPr>
          <w:color w:val="000000"/>
        </w:rPr>
      </w:pPr>
      <w:r>
        <w:rPr>
          <w:color w:val="000000"/>
        </w:rPr>
        <w:t xml:space="preserve">This Contract includes the application of materials subject to </w:t>
      </w:r>
      <w:r w:rsidRPr="00BB0358">
        <w:rPr>
          <w:color w:val="000000"/>
        </w:rPr>
        <w:t xml:space="preserve">the Volatile Organic Compounds (VOC) </w:t>
      </w:r>
      <w:r>
        <w:rPr>
          <w:color w:val="000000"/>
        </w:rPr>
        <w:t>c</w:t>
      </w:r>
      <w:r w:rsidRPr="00BB0358">
        <w:rPr>
          <w:color w:val="000000"/>
        </w:rPr>
        <w:t xml:space="preserve">ontent </w:t>
      </w:r>
      <w:r>
        <w:rPr>
          <w:color w:val="000000"/>
        </w:rPr>
        <w:t>l</w:t>
      </w:r>
      <w:r w:rsidRPr="00BB0358">
        <w:rPr>
          <w:color w:val="000000"/>
        </w:rPr>
        <w:t>imits stated in the Regulation</w:t>
      </w:r>
      <w:r>
        <w:rPr>
          <w:color w:val="000000"/>
        </w:rPr>
        <w:t>s</w:t>
      </w:r>
      <w:r w:rsidRPr="00BB0358">
        <w:rPr>
          <w:color w:val="000000"/>
        </w:rPr>
        <w:t xml:space="preserve"> of Connecticut State Agencies (RCSA) Sections 22a-174-41 and </w:t>
      </w:r>
      <w:r>
        <w:rPr>
          <w:color w:val="000000"/>
        </w:rPr>
        <w:t>-</w:t>
      </w:r>
      <w:r w:rsidRPr="00BB0358">
        <w:rPr>
          <w:color w:val="000000"/>
        </w:rPr>
        <w:t xml:space="preserve">41a. </w:t>
      </w:r>
      <w:r w:rsidR="00C7684C" w:rsidRPr="00BB0358">
        <w:rPr>
          <w:color w:val="000000"/>
        </w:rPr>
        <w:t xml:space="preserve">All </w:t>
      </w:r>
      <w:r w:rsidR="003F1B74" w:rsidRPr="00BB0358">
        <w:rPr>
          <w:color w:val="000000"/>
        </w:rPr>
        <w:t xml:space="preserve">architectural and industrial maintenance </w:t>
      </w:r>
      <w:r w:rsidR="00400C2E">
        <w:rPr>
          <w:color w:val="000000"/>
        </w:rPr>
        <w:t xml:space="preserve">(AIM) </w:t>
      </w:r>
      <w:r w:rsidR="003F1B74" w:rsidRPr="00BB0358">
        <w:rPr>
          <w:color w:val="000000"/>
        </w:rPr>
        <w:t xml:space="preserve">coatings </w:t>
      </w:r>
      <w:r w:rsidR="008470F5">
        <w:rPr>
          <w:color w:val="000000"/>
        </w:rPr>
        <w:t xml:space="preserve">and applications of such coatings </w:t>
      </w:r>
      <w:r w:rsidR="00A82869">
        <w:rPr>
          <w:color w:val="000000"/>
        </w:rPr>
        <w:t>must</w:t>
      </w:r>
      <w:r w:rsidR="003F1B74" w:rsidRPr="00BB0358">
        <w:rPr>
          <w:color w:val="000000"/>
        </w:rPr>
        <w:t xml:space="preserve"> </w:t>
      </w:r>
      <w:r w:rsidR="00C7684C" w:rsidRPr="00BB0358">
        <w:rPr>
          <w:color w:val="000000"/>
        </w:rPr>
        <w:t xml:space="preserve">comply with </w:t>
      </w:r>
      <w:r>
        <w:rPr>
          <w:color w:val="000000"/>
        </w:rPr>
        <w:t>these regulations</w:t>
      </w:r>
      <w:r w:rsidR="00AF33ED">
        <w:rPr>
          <w:color w:val="000000"/>
        </w:rPr>
        <w:t>.</w:t>
      </w:r>
    </w:p>
    <w:p w:rsidR="00FD0775" w:rsidRPr="00BB0358" w:rsidRDefault="00FD0775" w:rsidP="00FD0775">
      <w:pPr>
        <w:rPr>
          <w:rFonts w:eastAsiaTheme="minorHAnsi"/>
          <w:szCs w:val="24"/>
        </w:rPr>
      </w:pPr>
    </w:p>
    <w:p w:rsidR="00692A9E" w:rsidRDefault="00CF5B98" w:rsidP="00516A85">
      <w:pPr>
        <w:rPr>
          <w:rFonts w:eastAsiaTheme="minorHAnsi"/>
          <w:szCs w:val="24"/>
        </w:rPr>
      </w:pPr>
      <w:r>
        <w:rPr>
          <w:rFonts w:eastAsiaTheme="minorHAnsi"/>
          <w:szCs w:val="24"/>
        </w:rPr>
        <w:t xml:space="preserve">The Contractor shall submit a Material Safety Data Sheet/Safety Data Sheet or Product Technical Data Sheet developed by the manufacturer of each material that may be subject to the Regulations.  The submittal must verify both the type of AIM and its VOC Content.  </w:t>
      </w:r>
      <w:r w:rsidR="00516A85">
        <w:rPr>
          <w:rFonts w:eastAsiaTheme="minorHAnsi"/>
          <w:szCs w:val="24"/>
        </w:rPr>
        <w:t xml:space="preserve">VOC content shall be determined based on the </w:t>
      </w:r>
      <w:r w:rsidR="00516A85" w:rsidRPr="00692A9E">
        <w:rPr>
          <w:rFonts w:eastAsiaTheme="minorHAnsi"/>
          <w:szCs w:val="24"/>
        </w:rPr>
        <w:t>formulation data supplied by the materials</w:t>
      </w:r>
      <w:r w:rsidR="00516A85">
        <w:rPr>
          <w:rFonts w:eastAsiaTheme="minorHAnsi"/>
          <w:szCs w:val="24"/>
        </w:rPr>
        <w:t xml:space="preserve"> </w:t>
      </w:r>
      <w:r w:rsidR="00516A85" w:rsidRPr="00692A9E">
        <w:rPr>
          <w:rFonts w:eastAsiaTheme="minorHAnsi"/>
          <w:szCs w:val="24"/>
        </w:rPr>
        <w:t>manufacturer</w:t>
      </w:r>
      <w:r w:rsidR="00516A85">
        <w:rPr>
          <w:rFonts w:eastAsiaTheme="minorHAnsi"/>
          <w:szCs w:val="24"/>
        </w:rPr>
        <w:t>.</w:t>
      </w:r>
    </w:p>
    <w:p w:rsidR="00692A9E" w:rsidRDefault="00692A9E" w:rsidP="00C33A95">
      <w:pPr>
        <w:rPr>
          <w:rFonts w:eastAsiaTheme="minorHAnsi"/>
          <w:szCs w:val="24"/>
        </w:rPr>
      </w:pPr>
    </w:p>
    <w:p w:rsidR="00516A85" w:rsidRDefault="00C33A95" w:rsidP="00C33A95">
      <w:pPr>
        <w:rPr>
          <w:rFonts w:eastAsiaTheme="minorHAnsi"/>
          <w:szCs w:val="24"/>
        </w:rPr>
      </w:pPr>
      <w:r>
        <w:rPr>
          <w:rFonts w:eastAsiaTheme="minorHAnsi"/>
          <w:szCs w:val="24"/>
        </w:rPr>
        <w:t xml:space="preserve">The Contractor </w:t>
      </w:r>
      <w:r w:rsidR="00692A9E">
        <w:rPr>
          <w:rFonts w:eastAsiaTheme="minorHAnsi"/>
          <w:szCs w:val="24"/>
        </w:rPr>
        <w:t>may only</w:t>
      </w:r>
      <w:r>
        <w:rPr>
          <w:rFonts w:eastAsiaTheme="minorHAnsi"/>
          <w:szCs w:val="24"/>
        </w:rPr>
        <w:t xml:space="preserve"> </w:t>
      </w:r>
      <w:r w:rsidR="00572CAB">
        <w:rPr>
          <w:rFonts w:eastAsiaTheme="minorHAnsi"/>
          <w:szCs w:val="24"/>
        </w:rPr>
        <w:t>use</w:t>
      </w:r>
      <w:r>
        <w:rPr>
          <w:rFonts w:eastAsiaTheme="minorHAnsi"/>
          <w:szCs w:val="24"/>
        </w:rPr>
        <w:t xml:space="preserve"> AIM coatings </w:t>
      </w:r>
      <w:r w:rsidRPr="00BB0358">
        <w:rPr>
          <w:rFonts w:eastAsiaTheme="minorHAnsi"/>
          <w:szCs w:val="24"/>
        </w:rPr>
        <w:t xml:space="preserve">that </w:t>
      </w:r>
      <w:r>
        <w:rPr>
          <w:rFonts w:eastAsiaTheme="minorHAnsi"/>
          <w:szCs w:val="24"/>
        </w:rPr>
        <w:t>contain</w:t>
      </w:r>
      <w:r w:rsidRPr="00BB0358">
        <w:rPr>
          <w:rFonts w:eastAsiaTheme="minorHAnsi"/>
          <w:szCs w:val="24"/>
        </w:rPr>
        <w:t xml:space="preserve"> VOCs </w:t>
      </w:r>
      <w:r>
        <w:rPr>
          <w:rFonts w:eastAsiaTheme="minorHAnsi"/>
          <w:szCs w:val="24"/>
        </w:rPr>
        <w:t>below</w:t>
      </w:r>
      <w:r w:rsidRPr="00BB0358">
        <w:rPr>
          <w:rFonts w:eastAsiaTheme="minorHAnsi"/>
          <w:szCs w:val="24"/>
        </w:rPr>
        <w:t xml:space="preserve"> the </w:t>
      </w:r>
      <w:r w:rsidR="007378A9">
        <w:rPr>
          <w:rFonts w:eastAsiaTheme="minorHAnsi"/>
          <w:szCs w:val="24"/>
        </w:rPr>
        <w:t xml:space="preserve">respective coating category </w:t>
      </w:r>
      <w:r>
        <w:rPr>
          <w:rFonts w:eastAsiaTheme="minorHAnsi"/>
          <w:szCs w:val="24"/>
        </w:rPr>
        <w:t xml:space="preserve">Phase II </w:t>
      </w:r>
      <w:r w:rsidRPr="00BB0358">
        <w:rPr>
          <w:rFonts w:eastAsiaTheme="minorHAnsi"/>
          <w:szCs w:val="24"/>
        </w:rPr>
        <w:t>limits specified in Table 1</w:t>
      </w:r>
      <w:r>
        <w:rPr>
          <w:rFonts w:eastAsiaTheme="minorHAnsi"/>
          <w:szCs w:val="24"/>
        </w:rPr>
        <w:t xml:space="preserve"> if either</w:t>
      </w:r>
      <w:r w:rsidR="00516A85">
        <w:rPr>
          <w:rFonts w:eastAsiaTheme="minorHAnsi"/>
          <w:szCs w:val="24"/>
        </w:rPr>
        <w:t>:</w:t>
      </w:r>
    </w:p>
    <w:p w:rsidR="00516A85" w:rsidRDefault="00C33A95" w:rsidP="00516A85">
      <w:pPr>
        <w:ind w:firstLine="720"/>
        <w:rPr>
          <w:rFonts w:eastAsiaTheme="minorHAnsi"/>
          <w:szCs w:val="24"/>
        </w:rPr>
      </w:pPr>
      <w:r>
        <w:rPr>
          <w:rFonts w:eastAsiaTheme="minorHAnsi"/>
          <w:szCs w:val="24"/>
        </w:rPr>
        <w:t xml:space="preserve">a) the coating was manufactured on or after May 1, 2018, </w:t>
      </w:r>
      <w:r w:rsidRPr="00C33A95">
        <w:rPr>
          <w:rFonts w:eastAsiaTheme="minorHAnsi"/>
          <w:b/>
          <w:szCs w:val="24"/>
        </w:rPr>
        <w:t>or</w:t>
      </w:r>
      <w:r>
        <w:rPr>
          <w:rFonts w:eastAsiaTheme="minorHAnsi"/>
          <w:szCs w:val="24"/>
        </w:rPr>
        <w:t xml:space="preserve"> </w:t>
      </w:r>
    </w:p>
    <w:p w:rsidR="00C33A95" w:rsidRDefault="00C33A95" w:rsidP="00516A85">
      <w:pPr>
        <w:ind w:firstLine="720"/>
        <w:rPr>
          <w:rFonts w:eastAsiaTheme="minorHAnsi"/>
          <w:szCs w:val="24"/>
        </w:rPr>
      </w:pPr>
      <w:r>
        <w:rPr>
          <w:rFonts w:eastAsiaTheme="minorHAnsi"/>
          <w:szCs w:val="24"/>
        </w:rPr>
        <w:t>b) the coating is being applied after April 30, 2021.</w:t>
      </w:r>
    </w:p>
    <w:p w:rsidR="00C33A95" w:rsidRDefault="00C33A95" w:rsidP="00C33A95">
      <w:pPr>
        <w:rPr>
          <w:rFonts w:eastAsiaTheme="minorHAnsi"/>
          <w:szCs w:val="24"/>
        </w:rPr>
      </w:pPr>
    </w:p>
    <w:p w:rsidR="00C33A95" w:rsidRDefault="00C33A95" w:rsidP="00203D4A">
      <w:pPr>
        <w:rPr>
          <w:rFonts w:eastAsiaTheme="minorHAnsi"/>
          <w:szCs w:val="24"/>
        </w:rPr>
      </w:pPr>
      <w:r>
        <w:rPr>
          <w:rFonts w:eastAsiaTheme="minorHAnsi"/>
          <w:szCs w:val="24"/>
        </w:rPr>
        <w:t>T</w:t>
      </w:r>
      <w:r w:rsidR="00203D4A">
        <w:rPr>
          <w:rFonts w:eastAsiaTheme="minorHAnsi"/>
          <w:szCs w:val="24"/>
        </w:rPr>
        <w:t xml:space="preserve">he Contractor </w:t>
      </w:r>
      <w:r w:rsidR="00C33F1C">
        <w:rPr>
          <w:rFonts w:eastAsiaTheme="minorHAnsi"/>
          <w:szCs w:val="24"/>
        </w:rPr>
        <w:t>may</w:t>
      </w:r>
      <w:r w:rsidR="00203D4A">
        <w:rPr>
          <w:rFonts w:eastAsiaTheme="minorHAnsi"/>
          <w:szCs w:val="24"/>
        </w:rPr>
        <w:t xml:space="preserve"> </w:t>
      </w:r>
      <w:r w:rsidR="00572CAB">
        <w:rPr>
          <w:rFonts w:eastAsiaTheme="minorHAnsi"/>
          <w:szCs w:val="24"/>
        </w:rPr>
        <w:t>use</w:t>
      </w:r>
      <w:r w:rsidR="005E582D">
        <w:rPr>
          <w:rFonts w:eastAsiaTheme="minorHAnsi"/>
          <w:szCs w:val="24"/>
        </w:rPr>
        <w:t xml:space="preserve"> </w:t>
      </w:r>
      <w:r w:rsidR="00400C2E">
        <w:rPr>
          <w:rFonts w:eastAsiaTheme="minorHAnsi"/>
          <w:szCs w:val="24"/>
        </w:rPr>
        <w:t>AIM</w:t>
      </w:r>
      <w:r w:rsidR="00BB0358" w:rsidRPr="00BB0358">
        <w:rPr>
          <w:rFonts w:eastAsiaTheme="minorHAnsi"/>
          <w:szCs w:val="24"/>
        </w:rPr>
        <w:t xml:space="preserve"> coatings </w:t>
      </w:r>
      <w:r w:rsidR="00A358A1" w:rsidRPr="00BB0358">
        <w:rPr>
          <w:rFonts w:eastAsiaTheme="minorHAnsi"/>
          <w:szCs w:val="24"/>
        </w:rPr>
        <w:t xml:space="preserve">that </w:t>
      </w:r>
      <w:r w:rsidR="00A358A1">
        <w:rPr>
          <w:rFonts w:eastAsiaTheme="minorHAnsi"/>
          <w:szCs w:val="24"/>
        </w:rPr>
        <w:t>contain</w:t>
      </w:r>
      <w:r w:rsidR="00A358A1" w:rsidRPr="00BB0358">
        <w:rPr>
          <w:rFonts w:eastAsiaTheme="minorHAnsi"/>
          <w:szCs w:val="24"/>
        </w:rPr>
        <w:t xml:space="preserve"> VOCs </w:t>
      </w:r>
      <w:r>
        <w:rPr>
          <w:rFonts w:eastAsiaTheme="minorHAnsi"/>
          <w:szCs w:val="24"/>
        </w:rPr>
        <w:t>exceed</w:t>
      </w:r>
      <w:r w:rsidR="008470F5">
        <w:rPr>
          <w:rFonts w:eastAsiaTheme="minorHAnsi"/>
          <w:szCs w:val="24"/>
        </w:rPr>
        <w:t>ing</w:t>
      </w:r>
      <w:r w:rsidR="00A358A1" w:rsidRPr="00BB0358">
        <w:rPr>
          <w:rFonts w:eastAsiaTheme="minorHAnsi"/>
          <w:szCs w:val="24"/>
        </w:rPr>
        <w:t xml:space="preserve"> the </w:t>
      </w:r>
      <w:r w:rsidR="007378A9">
        <w:rPr>
          <w:rFonts w:eastAsiaTheme="minorHAnsi"/>
          <w:szCs w:val="24"/>
        </w:rPr>
        <w:t xml:space="preserve">respective coating category </w:t>
      </w:r>
      <w:r w:rsidR="00A358A1">
        <w:rPr>
          <w:rFonts w:eastAsiaTheme="minorHAnsi"/>
          <w:szCs w:val="24"/>
        </w:rPr>
        <w:t>Phase I</w:t>
      </w:r>
      <w:r w:rsidR="007B4C17">
        <w:rPr>
          <w:rFonts w:eastAsiaTheme="minorHAnsi"/>
          <w:szCs w:val="24"/>
        </w:rPr>
        <w:t>I</w:t>
      </w:r>
      <w:r w:rsidR="00A358A1">
        <w:rPr>
          <w:rFonts w:eastAsiaTheme="minorHAnsi"/>
          <w:szCs w:val="24"/>
        </w:rPr>
        <w:t xml:space="preserve"> </w:t>
      </w:r>
      <w:r w:rsidR="00A358A1" w:rsidRPr="00BB0358">
        <w:rPr>
          <w:rFonts w:eastAsiaTheme="minorHAnsi"/>
          <w:szCs w:val="24"/>
        </w:rPr>
        <w:t>limits specified in Table 1</w:t>
      </w:r>
      <w:r w:rsidR="007B4C17">
        <w:rPr>
          <w:rFonts w:eastAsiaTheme="minorHAnsi"/>
          <w:szCs w:val="24"/>
        </w:rPr>
        <w:t xml:space="preserve"> </w:t>
      </w:r>
      <w:r>
        <w:rPr>
          <w:rFonts w:eastAsiaTheme="minorHAnsi"/>
          <w:szCs w:val="24"/>
        </w:rPr>
        <w:t xml:space="preserve">only </w:t>
      </w:r>
      <w:r w:rsidR="00A358A1">
        <w:rPr>
          <w:rFonts w:eastAsiaTheme="minorHAnsi"/>
          <w:szCs w:val="24"/>
        </w:rPr>
        <w:t xml:space="preserve">if </w:t>
      </w:r>
      <w:r w:rsidR="007378A9">
        <w:rPr>
          <w:rFonts w:eastAsiaTheme="minorHAnsi"/>
          <w:szCs w:val="24"/>
        </w:rPr>
        <w:t xml:space="preserve">all of </w:t>
      </w:r>
      <w:r>
        <w:rPr>
          <w:rFonts w:eastAsiaTheme="minorHAnsi"/>
          <w:szCs w:val="24"/>
        </w:rPr>
        <w:t>the following four conditions are met:</w:t>
      </w:r>
    </w:p>
    <w:p w:rsidR="00C33A95" w:rsidRDefault="00C33A95" w:rsidP="00C33A95">
      <w:pPr>
        <w:ind w:firstLine="720"/>
        <w:rPr>
          <w:rFonts w:eastAsiaTheme="minorHAnsi"/>
          <w:szCs w:val="24"/>
        </w:rPr>
      </w:pPr>
      <w:r>
        <w:rPr>
          <w:rFonts w:eastAsiaTheme="minorHAnsi"/>
          <w:szCs w:val="24"/>
        </w:rPr>
        <w:t>a) the coating is being applied on or before April 30, 2021,</w:t>
      </w:r>
    </w:p>
    <w:p w:rsidR="00C33A95" w:rsidRDefault="00C33A95" w:rsidP="00C33A95">
      <w:pPr>
        <w:ind w:firstLine="720"/>
        <w:rPr>
          <w:rFonts w:eastAsiaTheme="minorHAnsi"/>
          <w:szCs w:val="24"/>
        </w:rPr>
      </w:pPr>
      <w:r>
        <w:rPr>
          <w:rFonts w:eastAsiaTheme="minorHAnsi"/>
          <w:szCs w:val="24"/>
        </w:rPr>
        <w:t xml:space="preserve">b) the coating contains VOCs below the applicable Phase I limits </w:t>
      </w:r>
      <w:r w:rsidRPr="00BB0358">
        <w:rPr>
          <w:rFonts w:eastAsiaTheme="minorHAnsi"/>
          <w:szCs w:val="24"/>
        </w:rPr>
        <w:t>specified in Table 1</w:t>
      </w:r>
      <w:r>
        <w:rPr>
          <w:rFonts w:eastAsiaTheme="minorHAnsi"/>
          <w:szCs w:val="24"/>
        </w:rPr>
        <w:t>,</w:t>
      </w:r>
    </w:p>
    <w:p w:rsidR="00C33A95" w:rsidRDefault="00C33A95" w:rsidP="00C33A95">
      <w:pPr>
        <w:ind w:firstLine="720"/>
        <w:rPr>
          <w:rFonts w:eastAsiaTheme="minorHAnsi"/>
          <w:szCs w:val="24"/>
        </w:rPr>
      </w:pPr>
      <w:r>
        <w:rPr>
          <w:rFonts w:eastAsiaTheme="minorHAnsi"/>
          <w:szCs w:val="24"/>
        </w:rPr>
        <w:t>c)</w:t>
      </w:r>
      <w:r w:rsidR="00A358A1">
        <w:rPr>
          <w:rFonts w:eastAsiaTheme="minorHAnsi"/>
          <w:szCs w:val="24"/>
        </w:rPr>
        <w:t xml:space="preserve"> </w:t>
      </w:r>
      <w:r>
        <w:rPr>
          <w:rFonts w:eastAsiaTheme="minorHAnsi"/>
          <w:szCs w:val="24"/>
        </w:rPr>
        <w:t xml:space="preserve">the coating </w:t>
      </w:r>
      <w:r w:rsidR="00A358A1">
        <w:rPr>
          <w:rFonts w:eastAsiaTheme="minorHAnsi"/>
          <w:szCs w:val="24"/>
        </w:rPr>
        <w:t xml:space="preserve">was </w:t>
      </w:r>
      <w:r w:rsidR="00BB0358" w:rsidRPr="00BB0358">
        <w:rPr>
          <w:rFonts w:eastAsiaTheme="minorHAnsi"/>
          <w:szCs w:val="24"/>
        </w:rPr>
        <w:t xml:space="preserve">manufactured </w:t>
      </w:r>
      <w:r w:rsidR="00C33F1C">
        <w:rPr>
          <w:rFonts w:eastAsiaTheme="minorHAnsi"/>
          <w:szCs w:val="24"/>
        </w:rPr>
        <w:t>prior to</w:t>
      </w:r>
      <w:r w:rsidR="00BB0358">
        <w:rPr>
          <w:rFonts w:eastAsiaTheme="minorHAnsi"/>
          <w:szCs w:val="24"/>
        </w:rPr>
        <w:t xml:space="preserve"> </w:t>
      </w:r>
      <w:r w:rsidR="00BB0358" w:rsidRPr="00BB0358">
        <w:rPr>
          <w:rFonts w:eastAsiaTheme="minorHAnsi"/>
          <w:szCs w:val="24"/>
        </w:rPr>
        <w:t>May 1, 2018</w:t>
      </w:r>
      <w:r>
        <w:rPr>
          <w:rFonts w:eastAsiaTheme="minorHAnsi"/>
          <w:szCs w:val="24"/>
        </w:rPr>
        <w:t>,</w:t>
      </w:r>
      <w:r w:rsidR="007B4C17">
        <w:rPr>
          <w:rFonts w:eastAsiaTheme="minorHAnsi"/>
          <w:szCs w:val="24"/>
        </w:rPr>
        <w:t xml:space="preserve"> </w:t>
      </w:r>
      <w:r w:rsidRPr="00C33A95">
        <w:rPr>
          <w:rFonts w:eastAsiaTheme="minorHAnsi"/>
          <w:b/>
          <w:szCs w:val="24"/>
        </w:rPr>
        <w:t>and</w:t>
      </w:r>
      <w:r>
        <w:rPr>
          <w:rFonts w:eastAsiaTheme="minorHAnsi"/>
          <w:szCs w:val="24"/>
        </w:rPr>
        <w:t xml:space="preserve"> </w:t>
      </w:r>
    </w:p>
    <w:p w:rsidR="007B4C17" w:rsidRDefault="00C33A95" w:rsidP="00C33A95">
      <w:pPr>
        <w:ind w:firstLine="720"/>
        <w:rPr>
          <w:rFonts w:eastAsiaTheme="minorHAnsi"/>
          <w:szCs w:val="24"/>
        </w:rPr>
      </w:pPr>
      <w:r>
        <w:rPr>
          <w:rFonts w:eastAsiaTheme="minorHAnsi"/>
          <w:szCs w:val="24"/>
        </w:rPr>
        <w:t xml:space="preserve">d) </w:t>
      </w:r>
      <w:r w:rsidR="007B4C17">
        <w:rPr>
          <w:rFonts w:eastAsiaTheme="minorHAnsi"/>
          <w:szCs w:val="24"/>
        </w:rPr>
        <w:t xml:space="preserve">the coating container(s) </w:t>
      </w:r>
      <w:r>
        <w:rPr>
          <w:rFonts w:eastAsiaTheme="minorHAnsi"/>
          <w:szCs w:val="24"/>
        </w:rPr>
        <w:t>are</w:t>
      </w:r>
      <w:r w:rsidR="007B4C17">
        <w:rPr>
          <w:rFonts w:eastAsiaTheme="minorHAnsi"/>
          <w:szCs w:val="24"/>
        </w:rPr>
        <w:t xml:space="preserve"> date</w:t>
      </w:r>
      <w:r>
        <w:rPr>
          <w:rFonts w:eastAsiaTheme="minorHAnsi"/>
          <w:szCs w:val="24"/>
        </w:rPr>
        <w:t>d</w:t>
      </w:r>
      <w:r w:rsidR="007B4C17">
        <w:rPr>
          <w:rFonts w:eastAsiaTheme="minorHAnsi"/>
          <w:szCs w:val="24"/>
        </w:rPr>
        <w:t xml:space="preserve"> </w:t>
      </w:r>
      <w:r>
        <w:rPr>
          <w:rFonts w:eastAsiaTheme="minorHAnsi"/>
          <w:szCs w:val="24"/>
        </w:rPr>
        <w:t>(</w:t>
      </w:r>
      <w:r w:rsidR="007B4C17">
        <w:rPr>
          <w:rFonts w:eastAsiaTheme="minorHAnsi"/>
          <w:szCs w:val="24"/>
        </w:rPr>
        <w:t>or date coded</w:t>
      </w:r>
      <w:r>
        <w:rPr>
          <w:rFonts w:eastAsiaTheme="minorHAnsi"/>
          <w:szCs w:val="24"/>
        </w:rPr>
        <w:t>)</w:t>
      </w:r>
      <w:r w:rsidR="007B4C17">
        <w:rPr>
          <w:rFonts w:eastAsiaTheme="minorHAnsi"/>
          <w:szCs w:val="24"/>
        </w:rPr>
        <w:t xml:space="preserve"> as such</w:t>
      </w:r>
      <w:r w:rsidR="00203D4A">
        <w:rPr>
          <w:rFonts w:eastAsiaTheme="minorHAnsi"/>
          <w:szCs w:val="24"/>
        </w:rPr>
        <w:t xml:space="preserve">. </w:t>
      </w:r>
    </w:p>
    <w:p w:rsidR="007B4C17" w:rsidRDefault="007B4C17" w:rsidP="00203D4A">
      <w:pPr>
        <w:rPr>
          <w:rFonts w:eastAsiaTheme="minorHAnsi"/>
          <w:szCs w:val="24"/>
        </w:rPr>
      </w:pPr>
    </w:p>
    <w:p w:rsidR="00572CAB" w:rsidRDefault="007378A9" w:rsidP="00EA2EC3">
      <w:pPr>
        <w:rPr>
          <w:rFonts w:eastAsiaTheme="minorHAnsi"/>
          <w:szCs w:val="22"/>
        </w:rPr>
      </w:pPr>
      <w:r w:rsidRPr="00EA2EC3">
        <w:rPr>
          <w:rFonts w:eastAsiaTheme="minorHAnsi"/>
          <w:szCs w:val="22"/>
        </w:rPr>
        <w:t xml:space="preserve">For any coating that is not categorized </w:t>
      </w:r>
      <w:r w:rsidR="00EA2EC3" w:rsidRPr="00EA2EC3">
        <w:rPr>
          <w:rFonts w:eastAsiaTheme="minorHAnsi"/>
          <w:szCs w:val="22"/>
        </w:rPr>
        <w:t xml:space="preserve">within </w:t>
      </w:r>
      <w:r w:rsidRPr="00EA2EC3">
        <w:rPr>
          <w:rFonts w:eastAsiaTheme="minorHAnsi"/>
          <w:szCs w:val="22"/>
        </w:rPr>
        <w:t xml:space="preserve">Table 1, the </w:t>
      </w:r>
      <w:r w:rsidR="00572CAB">
        <w:rPr>
          <w:rFonts w:eastAsiaTheme="minorHAnsi"/>
          <w:szCs w:val="22"/>
        </w:rPr>
        <w:t xml:space="preserve">Contractor shall classify </w:t>
      </w:r>
      <w:r w:rsidR="003E11CA">
        <w:rPr>
          <w:rFonts w:eastAsiaTheme="minorHAnsi"/>
          <w:szCs w:val="22"/>
        </w:rPr>
        <w:t xml:space="preserve">the coating </w:t>
      </w:r>
      <w:r w:rsidRPr="00EA2EC3">
        <w:rPr>
          <w:rFonts w:eastAsiaTheme="minorHAnsi"/>
          <w:szCs w:val="22"/>
        </w:rPr>
        <w:t>as</w:t>
      </w:r>
      <w:r w:rsidR="00474147">
        <w:rPr>
          <w:rFonts w:eastAsiaTheme="minorHAnsi"/>
          <w:szCs w:val="22"/>
        </w:rPr>
        <w:t xml:space="preserve"> follows and</w:t>
      </w:r>
      <w:r w:rsidR="00572CAB">
        <w:rPr>
          <w:rFonts w:eastAsiaTheme="minorHAnsi"/>
          <w:szCs w:val="22"/>
        </w:rPr>
        <w:t xml:space="preserve"> apply corresponding limits in Table 1.</w:t>
      </w:r>
    </w:p>
    <w:p w:rsidR="00572CAB" w:rsidRDefault="00572CAB" w:rsidP="00572CAB">
      <w:pPr>
        <w:pStyle w:val="ListParagraph"/>
        <w:numPr>
          <w:ilvl w:val="0"/>
          <w:numId w:val="31"/>
        </w:numPr>
        <w:rPr>
          <w:rFonts w:eastAsiaTheme="minorHAnsi"/>
          <w:szCs w:val="22"/>
        </w:rPr>
      </w:pPr>
      <w:r w:rsidRPr="00572CAB">
        <w:rPr>
          <w:color w:val="000000"/>
          <w:szCs w:val="22"/>
        </w:rPr>
        <w:t>Registers</w:t>
      </w:r>
      <w:r w:rsidR="00EA2EC3" w:rsidRPr="00572CAB">
        <w:rPr>
          <w:color w:val="000000"/>
          <w:szCs w:val="22"/>
        </w:rPr>
        <w:t xml:space="preserve"> gloss &lt;15 on an 85-degree meter or &lt;5 on a 60-degree meter)</w:t>
      </w:r>
      <w:r>
        <w:rPr>
          <w:color w:val="000000"/>
          <w:szCs w:val="22"/>
        </w:rPr>
        <w:t xml:space="preserve"> – Flat Coating</w:t>
      </w:r>
      <w:r>
        <w:rPr>
          <w:rFonts w:eastAsiaTheme="minorHAnsi"/>
          <w:szCs w:val="22"/>
        </w:rPr>
        <w:t>,</w:t>
      </w:r>
    </w:p>
    <w:p w:rsidR="00572CAB" w:rsidRDefault="00572CAB" w:rsidP="00572CAB">
      <w:pPr>
        <w:pStyle w:val="ListParagraph"/>
        <w:numPr>
          <w:ilvl w:val="0"/>
          <w:numId w:val="31"/>
        </w:numPr>
        <w:rPr>
          <w:rFonts w:eastAsiaTheme="minorHAnsi"/>
          <w:szCs w:val="22"/>
        </w:rPr>
      </w:pPr>
      <w:r>
        <w:rPr>
          <w:rFonts w:eastAsiaTheme="minorHAnsi"/>
          <w:szCs w:val="22"/>
        </w:rPr>
        <w:t>R</w:t>
      </w:r>
      <w:r w:rsidR="00EA2EC3" w:rsidRPr="00572CAB">
        <w:rPr>
          <w:color w:val="000000"/>
          <w:szCs w:val="22"/>
        </w:rPr>
        <w:t xml:space="preserve">egisters </w:t>
      </w:r>
      <w:r>
        <w:rPr>
          <w:color w:val="000000"/>
          <w:szCs w:val="22"/>
        </w:rPr>
        <w:t>g</w:t>
      </w:r>
      <w:r w:rsidR="00EA2EC3" w:rsidRPr="00572CAB">
        <w:rPr>
          <w:color w:val="000000"/>
          <w:szCs w:val="22"/>
        </w:rPr>
        <w:t>loss of ≥15 on an 85-degree meter and ≥5on a 60-degree meter)</w:t>
      </w:r>
      <w:r>
        <w:rPr>
          <w:color w:val="000000"/>
          <w:szCs w:val="22"/>
        </w:rPr>
        <w:t xml:space="preserve"> -</w:t>
      </w:r>
      <w:r w:rsidRPr="00572CAB">
        <w:rPr>
          <w:rFonts w:eastAsiaTheme="minorHAnsi"/>
          <w:szCs w:val="22"/>
        </w:rPr>
        <w:t xml:space="preserve"> </w:t>
      </w:r>
      <w:r>
        <w:rPr>
          <w:rFonts w:eastAsiaTheme="minorHAnsi"/>
          <w:szCs w:val="22"/>
        </w:rPr>
        <w:t>N</w:t>
      </w:r>
      <w:r w:rsidRPr="00572CAB">
        <w:rPr>
          <w:rFonts w:eastAsiaTheme="minorHAnsi"/>
          <w:szCs w:val="22"/>
        </w:rPr>
        <w:t xml:space="preserve">onflat </w:t>
      </w:r>
      <w:r>
        <w:rPr>
          <w:rFonts w:eastAsiaTheme="minorHAnsi"/>
          <w:szCs w:val="22"/>
        </w:rPr>
        <w:t>C</w:t>
      </w:r>
      <w:r w:rsidRPr="00572CAB">
        <w:rPr>
          <w:rFonts w:eastAsiaTheme="minorHAnsi"/>
          <w:szCs w:val="22"/>
        </w:rPr>
        <w:t>oating</w:t>
      </w:r>
      <w:r w:rsidR="00474147">
        <w:rPr>
          <w:rFonts w:eastAsiaTheme="minorHAnsi"/>
          <w:szCs w:val="22"/>
        </w:rPr>
        <w:t>,</w:t>
      </w:r>
    </w:p>
    <w:p w:rsidR="007378A9" w:rsidRPr="00572CAB" w:rsidRDefault="00572CAB" w:rsidP="00572CAB">
      <w:pPr>
        <w:pStyle w:val="ListParagraph"/>
        <w:numPr>
          <w:ilvl w:val="0"/>
          <w:numId w:val="31"/>
        </w:numPr>
        <w:rPr>
          <w:rFonts w:eastAsiaTheme="minorHAnsi"/>
          <w:szCs w:val="22"/>
        </w:rPr>
      </w:pPr>
      <w:r>
        <w:rPr>
          <w:rFonts w:eastAsiaTheme="minorHAnsi"/>
          <w:szCs w:val="22"/>
        </w:rPr>
        <w:t>R</w:t>
      </w:r>
      <w:r w:rsidR="00EA2EC3" w:rsidRPr="00572CAB">
        <w:rPr>
          <w:color w:val="000000"/>
          <w:szCs w:val="22"/>
        </w:rPr>
        <w:t>egister</w:t>
      </w:r>
      <w:r>
        <w:rPr>
          <w:color w:val="000000"/>
          <w:szCs w:val="22"/>
        </w:rPr>
        <w:t>s</w:t>
      </w:r>
      <w:r w:rsidR="00EA2EC3" w:rsidRPr="00572CAB">
        <w:rPr>
          <w:color w:val="000000"/>
          <w:szCs w:val="22"/>
        </w:rPr>
        <w:t xml:space="preserve"> gloss of ≥</w:t>
      </w:r>
      <w:r>
        <w:rPr>
          <w:color w:val="000000"/>
          <w:szCs w:val="22"/>
        </w:rPr>
        <w:t xml:space="preserve">70 </w:t>
      </w:r>
      <w:r w:rsidR="00EA2EC3" w:rsidRPr="00572CAB">
        <w:rPr>
          <w:color w:val="000000"/>
          <w:szCs w:val="22"/>
        </w:rPr>
        <w:t>on a 60-degree meter</w:t>
      </w:r>
      <w:r w:rsidRPr="00572CAB">
        <w:rPr>
          <w:rFonts w:eastAsiaTheme="minorHAnsi"/>
          <w:szCs w:val="22"/>
        </w:rPr>
        <w:t xml:space="preserve"> </w:t>
      </w:r>
      <w:r>
        <w:rPr>
          <w:rFonts w:eastAsiaTheme="minorHAnsi"/>
          <w:szCs w:val="22"/>
        </w:rPr>
        <w:t>- N</w:t>
      </w:r>
      <w:r w:rsidRPr="00572CAB">
        <w:rPr>
          <w:rFonts w:eastAsiaTheme="minorHAnsi"/>
          <w:szCs w:val="22"/>
        </w:rPr>
        <w:t>onflat-</w:t>
      </w:r>
      <w:r>
        <w:rPr>
          <w:rFonts w:eastAsiaTheme="minorHAnsi"/>
          <w:szCs w:val="22"/>
        </w:rPr>
        <w:t>H</w:t>
      </w:r>
      <w:r w:rsidRPr="00572CAB">
        <w:rPr>
          <w:rFonts w:eastAsiaTheme="minorHAnsi"/>
          <w:szCs w:val="22"/>
        </w:rPr>
        <w:t xml:space="preserve">igh </w:t>
      </w:r>
      <w:r>
        <w:rPr>
          <w:rFonts w:eastAsiaTheme="minorHAnsi"/>
          <w:szCs w:val="22"/>
        </w:rPr>
        <w:t>G</w:t>
      </w:r>
      <w:r w:rsidRPr="00572CAB">
        <w:rPr>
          <w:rFonts w:eastAsiaTheme="minorHAnsi"/>
          <w:szCs w:val="22"/>
        </w:rPr>
        <w:t xml:space="preserve">loss </w:t>
      </w:r>
      <w:r>
        <w:rPr>
          <w:rFonts w:eastAsiaTheme="minorHAnsi"/>
          <w:szCs w:val="22"/>
        </w:rPr>
        <w:t>C</w:t>
      </w:r>
      <w:r w:rsidRPr="00572CAB">
        <w:rPr>
          <w:rFonts w:eastAsiaTheme="minorHAnsi"/>
          <w:szCs w:val="22"/>
        </w:rPr>
        <w:t>oating</w:t>
      </w:r>
      <w:r w:rsidR="00474147">
        <w:rPr>
          <w:rFonts w:eastAsiaTheme="minorHAnsi"/>
          <w:szCs w:val="22"/>
        </w:rPr>
        <w:t>.</w:t>
      </w:r>
    </w:p>
    <w:p w:rsidR="007378A9" w:rsidRDefault="007378A9" w:rsidP="008470F5">
      <w:pPr>
        <w:rPr>
          <w:rFonts w:eastAsiaTheme="minorHAnsi"/>
          <w:szCs w:val="24"/>
        </w:rPr>
      </w:pPr>
    </w:p>
    <w:p w:rsidR="00692A9E" w:rsidRDefault="008470F5" w:rsidP="008470F5">
      <w:pPr>
        <w:rPr>
          <w:rFonts w:eastAsiaTheme="minorHAnsi"/>
          <w:szCs w:val="24"/>
        </w:rPr>
      </w:pPr>
      <w:r>
        <w:rPr>
          <w:rFonts w:eastAsiaTheme="minorHAnsi"/>
          <w:szCs w:val="24"/>
        </w:rPr>
        <w:t>The Contractor must close all</w:t>
      </w:r>
      <w:r w:rsidRPr="008470F5">
        <w:rPr>
          <w:rFonts w:eastAsiaTheme="minorHAnsi"/>
          <w:szCs w:val="24"/>
        </w:rPr>
        <w:t xml:space="preserve"> containers of coating </w:t>
      </w:r>
      <w:r w:rsidR="00516A85">
        <w:rPr>
          <w:rFonts w:eastAsiaTheme="minorHAnsi"/>
          <w:szCs w:val="24"/>
        </w:rPr>
        <w:t xml:space="preserve">and solvent </w:t>
      </w:r>
      <w:r w:rsidR="00692A9E" w:rsidRPr="008470F5">
        <w:rPr>
          <w:rFonts w:eastAsiaTheme="minorHAnsi"/>
          <w:szCs w:val="24"/>
        </w:rPr>
        <w:t>when</w:t>
      </w:r>
      <w:r w:rsidR="00692A9E">
        <w:rPr>
          <w:rFonts w:eastAsiaTheme="minorHAnsi"/>
          <w:szCs w:val="24"/>
        </w:rPr>
        <w:t xml:space="preserve"> </w:t>
      </w:r>
      <w:r w:rsidR="00692A9E" w:rsidRPr="008470F5">
        <w:rPr>
          <w:rFonts w:eastAsiaTheme="minorHAnsi"/>
          <w:szCs w:val="24"/>
        </w:rPr>
        <w:t>not in use.</w:t>
      </w:r>
    </w:p>
    <w:p w:rsidR="00653144" w:rsidRDefault="00653144" w:rsidP="008470F5">
      <w:pPr>
        <w:rPr>
          <w:rFonts w:eastAsiaTheme="minorHAnsi"/>
          <w:szCs w:val="24"/>
        </w:rPr>
      </w:pPr>
    </w:p>
    <w:p w:rsidR="00653144" w:rsidRDefault="00653144" w:rsidP="008470F5">
      <w:pPr>
        <w:rPr>
          <w:rFonts w:eastAsiaTheme="minorHAnsi"/>
          <w:szCs w:val="24"/>
        </w:rPr>
      </w:pPr>
      <w:r>
        <w:rPr>
          <w:rFonts w:eastAsiaTheme="minorHAnsi"/>
          <w:szCs w:val="24"/>
        </w:rPr>
        <w:t xml:space="preserve">Coating container labels must display the date the coating was manufactured, the manufacturer’s recommendation regarding thinning with solvent, </w:t>
      </w:r>
      <w:r w:rsidR="007378A9">
        <w:rPr>
          <w:rFonts w:eastAsiaTheme="minorHAnsi"/>
          <w:szCs w:val="24"/>
        </w:rPr>
        <w:t xml:space="preserve">and the coating’s </w:t>
      </w:r>
      <w:r>
        <w:rPr>
          <w:rFonts w:eastAsiaTheme="minorHAnsi"/>
          <w:szCs w:val="24"/>
        </w:rPr>
        <w:t xml:space="preserve">VOC content in grams per liter </w:t>
      </w:r>
      <w:r w:rsidR="007378A9">
        <w:rPr>
          <w:rFonts w:eastAsiaTheme="minorHAnsi"/>
          <w:szCs w:val="24"/>
        </w:rPr>
        <w:t xml:space="preserve">(g/L) </w:t>
      </w:r>
      <w:r>
        <w:rPr>
          <w:rFonts w:eastAsiaTheme="minorHAnsi"/>
          <w:szCs w:val="24"/>
        </w:rPr>
        <w:t>of coating. Certain coating categories as noted in Table 1 have additional labeling requirements.</w:t>
      </w:r>
    </w:p>
    <w:p w:rsidR="007378A9" w:rsidRDefault="007378A9" w:rsidP="007378A9">
      <w:pPr>
        <w:rPr>
          <w:rFonts w:eastAsiaTheme="minorHAnsi"/>
          <w:szCs w:val="24"/>
        </w:rPr>
      </w:pPr>
    </w:p>
    <w:p w:rsidR="007378A9" w:rsidRDefault="007378A9" w:rsidP="007378A9">
      <w:pPr>
        <w:rPr>
          <w:rFonts w:eastAsiaTheme="minorHAnsi"/>
          <w:szCs w:val="24"/>
        </w:rPr>
      </w:pPr>
      <w:r>
        <w:rPr>
          <w:rFonts w:eastAsiaTheme="minorHAnsi"/>
          <w:szCs w:val="24"/>
        </w:rPr>
        <w:t xml:space="preserve">The Contractor may add </w:t>
      </w:r>
      <w:r w:rsidRPr="00C33A95">
        <w:rPr>
          <w:rFonts w:eastAsiaTheme="minorHAnsi"/>
          <w:szCs w:val="24"/>
        </w:rPr>
        <w:t>ad</w:t>
      </w:r>
      <w:r>
        <w:rPr>
          <w:rFonts w:eastAsiaTheme="minorHAnsi"/>
          <w:szCs w:val="24"/>
        </w:rPr>
        <w:t>d</w:t>
      </w:r>
      <w:r w:rsidRPr="00C33A95">
        <w:rPr>
          <w:rFonts w:eastAsiaTheme="minorHAnsi"/>
          <w:szCs w:val="24"/>
        </w:rPr>
        <w:t xml:space="preserve">itional solvent to a coating </w:t>
      </w:r>
      <w:r>
        <w:rPr>
          <w:rFonts w:eastAsiaTheme="minorHAnsi"/>
          <w:szCs w:val="24"/>
        </w:rPr>
        <w:t xml:space="preserve">only </w:t>
      </w:r>
      <w:r w:rsidRPr="00C33A95">
        <w:rPr>
          <w:rFonts w:eastAsiaTheme="minorHAnsi"/>
          <w:szCs w:val="24"/>
        </w:rPr>
        <w:t>if such ad</w:t>
      </w:r>
      <w:r>
        <w:rPr>
          <w:rFonts w:eastAsiaTheme="minorHAnsi"/>
          <w:szCs w:val="24"/>
        </w:rPr>
        <w:t>d</w:t>
      </w:r>
      <w:r w:rsidRPr="00C33A95">
        <w:rPr>
          <w:rFonts w:eastAsiaTheme="minorHAnsi"/>
          <w:szCs w:val="24"/>
        </w:rPr>
        <w:t xml:space="preserve">ition </w:t>
      </w:r>
      <w:r>
        <w:rPr>
          <w:rFonts w:eastAsiaTheme="minorHAnsi"/>
          <w:szCs w:val="24"/>
        </w:rPr>
        <w:t xml:space="preserve">does not </w:t>
      </w:r>
      <w:r w:rsidRPr="00C33A95">
        <w:rPr>
          <w:rFonts w:eastAsiaTheme="minorHAnsi"/>
          <w:szCs w:val="24"/>
        </w:rPr>
        <w:t>cause the coating to exceed the</w:t>
      </w:r>
      <w:r>
        <w:rPr>
          <w:rFonts w:eastAsiaTheme="minorHAnsi"/>
          <w:szCs w:val="24"/>
        </w:rPr>
        <w:t xml:space="preserve"> </w:t>
      </w:r>
      <w:r w:rsidRPr="00C33A95">
        <w:rPr>
          <w:rFonts w:eastAsiaTheme="minorHAnsi"/>
          <w:szCs w:val="24"/>
        </w:rPr>
        <w:t xml:space="preserve">applicable VOC limit specified </w:t>
      </w:r>
      <w:r>
        <w:rPr>
          <w:rFonts w:eastAsiaTheme="minorHAnsi"/>
          <w:szCs w:val="24"/>
        </w:rPr>
        <w:t>Table 1</w:t>
      </w:r>
      <w:r w:rsidRPr="00C33A95">
        <w:rPr>
          <w:rFonts w:eastAsiaTheme="minorHAnsi"/>
          <w:szCs w:val="24"/>
        </w:rPr>
        <w:t>.</w:t>
      </w:r>
      <w:r>
        <w:rPr>
          <w:rFonts w:eastAsiaTheme="minorHAnsi"/>
          <w:szCs w:val="24"/>
        </w:rPr>
        <w:t xml:space="preserve"> The Contractor must adhere to type(s) of solvent and maximum amount of solvent recommended by coating manufacturer. VOC content of a thinned coating shall be the VOC content as listed by the manufacturer after thinning in accordance</w:t>
      </w:r>
      <w:r w:rsidR="008B2650">
        <w:rPr>
          <w:rFonts w:eastAsiaTheme="minorHAnsi"/>
          <w:szCs w:val="24"/>
        </w:rPr>
        <w:t xml:space="preserve"> with</w:t>
      </w:r>
      <w:r>
        <w:rPr>
          <w:rFonts w:eastAsiaTheme="minorHAnsi"/>
          <w:szCs w:val="24"/>
        </w:rPr>
        <w:t xml:space="preserve"> its recommendation.</w:t>
      </w:r>
    </w:p>
    <w:p w:rsidR="00653144" w:rsidRDefault="00653144">
      <w:pPr>
        <w:jc w:val="left"/>
        <w:rPr>
          <w:rFonts w:eastAsiaTheme="minorHAnsi"/>
          <w:szCs w:val="24"/>
        </w:rPr>
      </w:pPr>
    </w:p>
    <w:tbl>
      <w:tblPr>
        <w:tblW w:w="9340" w:type="dxa"/>
        <w:tblInd w:w="103" w:type="dxa"/>
        <w:tblLook w:val="04A0" w:firstRow="1" w:lastRow="0" w:firstColumn="1" w:lastColumn="0" w:noHBand="0" w:noVBand="1"/>
      </w:tblPr>
      <w:tblGrid>
        <w:gridCol w:w="4415"/>
        <w:gridCol w:w="2520"/>
        <w:gridCol w:w="2405"/>
      </w:tblGrid>
      <w:tr w:rsidR="00FD0775" w:rsidRPr="00653144" w:rsidTr="00653144">
        <w:trPr>
          <w:trHeight w:val="288"/>
          <w:tblHeader/>
        </w:trPr>
        <w:tc>
          <w:tcPr>
            <w:tcW w:w="9340"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rsidR="00FD0775" w:rsidRPr="00653144" w:rsidRDefault="00FD0775" w:rsidP="003F1B74">
            <w:pPr>
              <w:jc w:val="center"/>
              <w:rPr>
                <w:b/>
                <w:bCs/>
                <w:color w:val="000000"/>
                <w:sz w:val="21"/>
                <w:szCs w:val="21"/>
              </w:rPr>
            </w:pPr>
            <w:r w:rsidRPr="00653144">
              <w:rPr>
                <w:b/>
                <w:bCs/>
                <w:color w:val="000000"/>
                <w:sz w:val="21"/>
                <w:szCs w:val="21"/>
              </w:rPr>
              <w:t>TABLE 1</w:t>
            </w:r>
          </w:p>
        </w:tc>
      </w:tr>
      <w:tr w:rsidR="00400C2E" w:rsidRPr="00653144" w:rsidTr="00572CAB">
        <w:trPr>
          <w:trHeight w:val="288"/>
          <w:tblHeader/>
        </w:trPr>
        <w:tc>
          <w:tcPr>
            <w:tcW w:w="4415" w:type="dxa"/>
            <w:vMerge w:val="restart"/>
            <w:tcBorders>
              <w:top w:val="single" w:sz="4" w:space="0" w:color="auto"/>
              <w:left w:val="single" w:sz="4" w:space="0" w:color="auto"/>
              <w:right w:val="single" w:sz="4" w:space="0" w:color="auto"/>
            </w:tcBorders>
            <w:shd w:val="clear" w:color="000000" w:fill="F2F2F2"/>
            <w:vAlign w:val="center"/>
          </w:tcPr>
          <w:p w:rsidR="00400C2E" w:rsidRPr="00653144" w:rsidRDefault="00400C2E" w:rsidP="003F1B74">
            <w:pPr>
              <w:jc w:val="left"/>
              <w:rPr>
                <w:b/>
                <w:bCs/>
                <w:color w:val="231F20"/>
                <w:sz w:val="21"/>
                <w:szCs w:val="21"/>
              </w:rPr>
            </w:pPr>
            <w:bookmarkStart w:id="1" w:name="RANGE!A1:C65"/>
            <w:r w:rsidRPr="00653144">
              <w:rPr>
                <w:b/>
                <w:bCs/>
                <w:color w:val="231F20"/>
                <w:sz w:val="21"/>
                <w:szCs w:val="21"/>
              </w:rPr>
              <w:t>Coating Category</w:t>
            </w:r>
            <w:bookmarkEnd w:id="1"/>
          </w:p>
        </w:tc>
        <w:tc>
          <w:tcPr>
            <w:tcW w:w="2520" w:type="dxa"/>
            <w:tcBorders>
              <w:top w:val="single" w:sz="4" w:space="0" w:color="auto"/>
              <w:left w:val="nil"/>
              <w:bottom w:val="single" w:sz="4" w:space="0" w:color="auto"/>
              <w:right w:val="single" w:sz="4" w:space="0" w:color="auto"/>
            </w:tcBorders>
            <w:shd w:val="clear" w:color="000000" w:fill="F2F2F2"/>
            <w:vAlign w:val="center"/>
          </w:tcPr>
          <w:p w:rsidR="00400C2E" w:rsidRPr="00653144" w:rsidRDefault="00400C2E" w:rsidP="003F1B74">
            <w:pPr>
              <w:jc w:val="center"/>
              <w:rPr>
                <w:b/>
                <w:bCs/>
                <w:color w:val="000000"/>
                <w:sz w:val="21"/>
                <w:szCs w:val="21"/>
              </w:rPr>
            </w:pPr>
            <w:r w:rsidRPr="00653144">
              <w:rPr>
                <w:b/>
                <w:bCs/>
                <w:color w:val="000000"/>
                <w:sz w:val="21"/>
                <w:szCs w:val="21"/>
              </w:rPr>
              <w:t>Phase I</w:t>
            </w:r>
          </w:p>
        </w:tc>
        <w:tc>
          <w:tcPr>
            <w:tcW w:w="2405" w:type="dxa"/>
            <w:tcBorders>
              <w:top w:val="single" w:sz="4" w:space="0" w:color="auto"/>
              <w:left w:val="nil"/>
              <w:bottom w:val="single" w:sz="4" w:space="0" w:color="auto"/>
              <w:right w:val="single" w:sz="4" w:space="0" w:color="auto"/>
            </w:tcBorders>
            <w:shd w:val="clear" w:color="000000" w:fill="F2F2F2"/>
            <w:vAlign w:val="center"/>
          </w:tcPr>
          <w:p w:rsidR="00400C2E" w:rsidRPr="00653144" w:rsidRDefault="00400C2E" w:rsidP="003F1B74">
            <w:pPr>
              <w:jc w:val="center"/>
              <w:rPr>
                <w:b/>
                <w:bCs/>
                <w:color w:val="000000"/>
                <w:sz w:val="21"/>
                <w:szCs w:val="21"/>
              </w:rPr>
            </w:pPr>
            <w:r w:rsidRPr="00653144">
              <w:rPr>
                <w:b/>
                <w:bCs/>
                <w:color w:val="000000"/>
                <w:sz w:val="21"/>
                <w:szCs w:val="21"/>
              </w:rPr>
              <w:t>Phase II</w:t>
            </w:r>
          </w:p>
        </w:tc>
      </w:tr>
      <w:tr w:rsidR="00400C2E" w:rsidRPr="00653144" w:rsidTr="00572CAB">
        <w:trPr>
          <w:trHeight w:val="288"/>
          <w:tblHeader/>
        </w:trPr>
        <w:tc>
          <w:tcPr>
            <w:tcW w:w="4415" w:type="dxa"/>
            <w:vMerge/>
            <w:tcBorders>
              <w:left w:val="single" w:sz="4" w:space="0" w:color="auto"/>
              <w:bottom w:val="single" w:sz="4" w:space="0" w:color="auto"/>
              <w:right w:val="single" w:sz="4" w:space="0" w:color="auto"/>
            </w:tcBorders>
            <w:shd w:val="clear" w:color="000000" w:fill="F2F2F2"/>
            <w:vAlign w:val="center"/>
            <w:hideMark/>
          </w:tcPr>
          <w:p w:rsidR="00400C2E" w:rsidRPr="00653144" w:rsidRDefault="00400C2E" w:rsidP="003F1B74">
            <w:pPr>
              <w:jc w:val="left"/>
              <w:rPr>
                <w:b/>
                <w:bCs/>
                <w:color w:val="231F20"/>
                <w:sz w:val="21"/>
                <w:szCs w:val="21"/>
              </w:rPr>
            </w:pPr>
          </w:p>
        </w:tc>
        <w:tc>
          <w:tcPr>
            <w:tcW w:w="2520" w:type="dxa"/>
            <w:tcBorders>
              <w:top w:val="single" w:sz="4" w:space="0" w:color="auto"/>
              <w:left w:val="nil"/>
              <w:bottom w:val="single" w:sz="4" w:space="0" w:color="auto"/>
              <w:right w:val="single" w:sz="4" w:space="0" w:color="auto"/>
            </w:tcBorders>
            <w:shd w:val="clear" w:color="000000" w:fill="F2F2F2"/>
            <w:vAlign w:val="center"/>
            <w:hideMark/>
          </w:tcPr>
          <w:p w:rsidR="00400C2E" w:rsidRPr="00653144" w:rsidRDefault="00400C2E" w:rsidP="003F1B74">
            <w:pPr>
              <w:jc w:val="center"/>
              <w:rPr>
                <w:b/>
                <w:bCs/>
                <w:color w:val="000000"/>
                <w:sz w:val="21"/>
                <w:szCs w:val="21"/>
              </w:rPr>
            </w:pPr>
            <w:r w:rsidRPr="00653144">
              <w:rPr>
                <w:b/>
                <w:bCs/>
                <w:color w:val="000000"/>
                <w:sz w:val="21"/>
                <w:szCs w:val="21"/>
              </w:rPr>
              <w:t>manufactured prior to May 1, 2018</w:t>
            </w:r>
            <w:r w:rsidRPr="00653144">
              <w:rPr>
                <w:b/>
                <w:bCs/>
                <w:color w:val="000000"/>
                <w:sz w:val="21"/>
                <w:szCs w:val="21"/>
              </w:rPr>
              <w:br/>
              <w:t>VOC content limit (g/L)</w:t>
            </w:r>
          </w:p>
        </w:tc>
        <w:tc>
          <w:tcPr>
            <w:tcW w:w="2405" w:type="dxa"/>
            <w:tcBorders>
              <w:top w:val="single" w:sz="4" w:space="0" w:color="auto"/>
              <w:left w:val="nil"/>
              <w:bottom w:val="single" w:sz="4" w:space="0" w:color="auto"/>
              <w:right w:val="single" w:sz="4" w:space="0" w:color="auto"/>
            </w:tcBorders>
            <w:shd w:val="clear" w:color="000000" w:fill="F2F2F2"/>
            <w:vAlign w:val="center"/>
            <w:hideMark/>
          </w:tcPr>
          <w:p w:rsidR="00400C2E" w:rsidRPr="00653144" w:rsidRDefault="00400C2E" w:rsidP="003F1B74">
            <w:pPr>
              <w:jc w:val="center"/>
              <w:rPr>
                <w:b/>
                <w:bCs/>
                <w:color w:val="000000"/>
                <w:sz w:val="21"/>
                <w:szCs w:val="21"/>
              </w:rPr>
            </w:pPr>
            <w:r w:rsidRPr="00653144">
              <w:rPr>
                <w:b/>
                <w:bCs/>
                <w:color w:val="000000"/>
                <w:sz w:val="21"/>
                <w:szCs w:val="21"/>
              </w:rPr>
              <w:t>manufactured on or after May 1, 2018</w:t>
            </w:r>
            <w:r w:rsidRPr="00653144">
              <w:rPr>
                <w:b/>
                <w:bCs/>
                <w:color w:val="000000"/>
                <w:sz w:val="21"/>
                <w:szCs w:val="21"/>
              </w:rPr>
              <w:br/>
              <w:t>VOC content limit (g/L)</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Aluminum roof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b/>
                <w:bCs/>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Antenna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530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000000"/>
                <w:sz w:val="21"/>
                <w:szCs w:val="21"/>
              </w:rPr>
            </w:pPr>
            <w:r>
              <w:rPr>
                <w:color w:val="000000"/>
                <w:sz w:val="21"/>
                <w:szCs w:val="21"/>
              </w:rPr>
              <w:t>---</w:t>
            </w:r>
            <w:r w:rsidRPr="00474147">
              <w:rPr>
                <w:color w:val="000000"/>
                <w:sz w:val="21"/>
                <w:szCs w:val="21"/>
                <w:vertAlign w:val="superscript"/>
              </w:rPr>
              <w:t>1</w:t>
            </w:r>
            <w:r w:rsidR="003F1B74"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Antifouling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00000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Basement specialty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b/>
                <w:bCs/>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Bituminous roof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270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Bituminous roof primer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Bond breaker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Calcimine recoater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475</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475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474147">
            <w:pPr>
              <w:jc w:val="left"/>
              <w:rPr>
                <w:b/>
                <w:bCs/>
                <w:color w:val="231F20"/>
                <w:sz w:val="21"/>
                <w:szCs w:val="21"/>
              </w:rPr>
            </w:pPr>
            <w:r w:rsidRPr="00653144">
              <w:rPr>
                <w:b/>
                <w:bCs/>
                <w:color w:val="231F20"/>
                <w:sz w:val="21"/>
                <w:szCs w:val="21"/>
              </w:rPr>
              <w:t>Clear wood coating - Clear brushing lacquer</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680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275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474147">
            <w:pPr>
              <w:jc w:val="left"/>
              <w:rPr>
                <w:b/>
                <w:bCs/>
                <w:color w:val="231F20"/>
                <w:sz w:val="21"/>
                <w:szCs w:val="21"/>
              </w:rPr>
            </w:pPr>
            <w:r w:rsidRPr="00653144">
              <w:rPr>
                <w:b/>
                <w:bCs/>
                <w:color w:val="231F20"/>
                <w:sz w:val="21"/>
                <w:szCs w:val="21"/>
              </w:rPr>
              <w:t>Clear wood coating - Lacquer</w:t>
            </w:r>
            <w:r w:rsidR="00474147">
              <w:rPr>
                <w:b/>
                <w:bCs/>
                <w:color w:val="231F20"/>
                <w:sz w:val="21"/>
                <w:szCs w:val="21"/>
                <w:vertAlign w:val="superscript"/>
              </w:rPr>
              <w:t>2</w:t>
            </w:r>
            <w:r w:rsidR="00572CAB">
              <w:rPr>
                <w:b/>
                <w:bCs/>
                <w:color w:val="231F20"/>
                <w:sz w:val="21"/>
                <w:szCs w:val="21"/>
                <w:vertAlign w:val="superscript"/>
              </w:rPr>
              <w:t>,</w:t>
            </w:r>
            <w:r w:rsidR="00474147">
              <w:rPr>
                <w:b/>
                <w:bCs/>
                <w:color w:val="231F20"/>
                <w:sz w:val="21"/>
                <w:szCs w:val="21"/>
                <w:vertAlign w:val="superscript"/>
              </w:rPr>
              <w:t>3</w:t>
            </w:r>
            <w:r w:rsidRPr="00653144">
              <w:rPr>
                <w:b/>
                <w:bCs/>
                <w:color w:val="231F20"/>
                <w:sz w:val="21"/>
                <w:szCs w:val="21"/>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275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474147">
            <w:pPr>
              <w:jc w:val="left"/>
              <w:rPr>
                <w:b/>
                <w:bCs/>
                <w:color w:val="231F20"/>
                <w:sz w:val="21"/>
                <w:szCs w:val="21"/>
              </w:rPr>
            </w:pPr>
            <w:r w:rsidRPr="00653144">
              <w:rPr>
                <w:b/>
                <w:bCs/>
                <w:color w:val="231F20"/>
                <w:sz w:val="21"/>
                <w:szCs w:val="21"/>
              </w:rPr>
              <w:t>Clear wood coating - Sanding sealer</w:t>
            </w:r>
            <w:r w:rsidR="00474147">
              <w:rPr>
                <w:b/>
                <w:bCs/>
                <w:color w:val="231F20"/>
                <w:sz w:val="21"/>
                <w:szCs w:val="21"/>
                <w:vertAlign w:val="superscript"/>
              </w:rPr>
              <w:t>2</w:t>
            </w:r>
            <w:r w:rsidR="00572CAB">
              <w:rPr>
                <w:b/>
                <w:bCs/>
                <w:color w:val="231F20"/>
                <w:sz w:val="21"/>
                <w:szCs w:val="21"/>
                <w:vertAlign w:val="superscript"/>
              </w:rPr>
              <w:t>,</w:t>
            </w:r>
            <w:r w:rsidR="00474147">
              <w:rPr>
                <w:b/>
                <w:bCs/>
                <w:color w:val="231F20"/>
                <w:sz w:val="21"/>
                <w:szCs w:val="21"/>
                <w:vertAlign w:val="superscript"/>
              </w:rPr>
              <w:t>4</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275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Clear wood coating - Varnish</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275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Concrete curing compound</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 xml:space="preserve">Concrete or masonry sealer/ </w:t>
            </w:r>
            <w:r w:rsidRPr="00653144">
              <w:rPr>
                <w:b/>
                <w:bCs/>
                <w:color w:val="231F20"/>
                <w:sz w:val="21"/>
                <w:szCs w:val="21"/>
              </w:rPr>
              <w:br/>
              <w:t xml:space="preserve">Waterproofing concrete or masonry sealer </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Concrete surface retarder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780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780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Conjugated oil varnish</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Conversion varnish</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725</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725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Driveway sealer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Dry fog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Faux finishing coating</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Fire resistive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Fire retardant coating - Clear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650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Fire retardant coating - Opaque</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Flat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Floor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Flow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420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Form-release compound</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Graphic arts coating (sign paint)</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High temperature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420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420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Impacted immersion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780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780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Industrial maintenance coating</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340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Industrial maintenance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340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Low solids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120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120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Magnesite cement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Mastic texture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Metallic pigmented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lastRenderedPageBreak/>
              <w:t>Multi-color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Nonflat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8470F5">
            <w:pPr>
              <w:jc w:val="left"/>
              <w:rPr>
                <w:b/>
                <w:bCs/>
                <w:sz w:val="21"/>
                <w:szCs w:val="21"/>
              </w:rPr>
            </w:pPr>
            <w:r w:rsidRPr="00653144">
              <w:rPr>
                <w:b/>
                <w:bCs/>
                <w:color w:val="231F20"/>
                <w:sz w:val="21"/>
                <w:szCs w:val="21"/>
              </w:rPr>
              <w:t>Nonflat</w:t>
            </w:r>
            <w:r w:rsidR="008470F5" w:rsidRPr="00653144">
              <w:rPr>
                <w:b/>
                <w:bCs/>
                <w:color w:val="231F20"/>
                <w:sz w:val="21"/>
                <w:szCs w:val="21"/>
              </w:rPr>
              <w:t xml:space="preserve"> </w:t>
            </w:r>
            <w:r w:rsidRPr="00653144">
              <w:rPr>
                <w:b/>
                <w:bCs/>
                <w:color w:val="231F20"/>
                <w:sz w:val="21"/>
                <w:szCs w:val="21"/>
              </w:rPr>
              <w:t>high gloss coating</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Nuclear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Pre-treatment wash primer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420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420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Primer, sealer and undercoater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Quick-dry enamel</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Quick-dry primer, sealer and undercoater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Reactive penetrating carbonate stone sealer</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Reactive penetrating sealer</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b/>
                <w:bCs/>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Recycled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Roof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Rust preventive coating</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400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Shellac Clear</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730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730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color w:val="231F20"/>
                <w:sz w:val="21"/>
                <w:szCs w:val="21"/>
              </w:rPr>
            </w:pPr>
            <w:r w:rsidRPr="00653144">
              <w:rPr>
                <w:b/>
                <w:bCs/>
                <w:color w:val="231F20"/>
                <w:sz w:val="21"/>
                <w:szCs w:val="21"/>
              </w:rPr>
              <w:t>Shellac Opaque</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Specialty primer, sealer and undercoater</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Stain</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Stone consolidant</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Swimming pool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340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340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Thermoplastic rubber coating and mastic</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550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550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Traffic marking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150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Traffic marking coating</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150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100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Tub and tile refinish</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420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Waterproofing membrane</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sz w:val="21"/>
                <w:szCs w:val="21"/>
              </w:rPr>
              <w:t xml:space="preserve">Waterproofing sealer </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250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color w:val="231F20"/>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Wood coating</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275</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Wood preservative</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sz w:val="21"/>
                <w:szCs w:val="21"/>
              </w:rPr>
            </w:pPr>
            <w:r w:rsidRPr="00653144">
              <w:rPr>
                <w:sz w:val="21"/>
                <w:szCs w:val="21"/>
              </w:rPr>
              <w:t>350</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350</w:t>
            </w:r>
          </w:p>
        </w:tc>
      </w:tr>
      <w:tr w:rsidR="003F1B74" w:rsidRPr="00653144" w:rsidTr="00572CAB">
        <w:trPr>
          <w:trHeight w:val="288"/>
        </w:trPr>
        <w:tc>
          <w:tcPr>
            <w:tcW w:w="4415" w:type="dxa"/>
            <w:tcBorders>
              <w:top w:val="nil"/>
              <w:left w:val="single" w:sz="4" w:space="0" w:color="auto"/>
              <w:bottom w:val="single" w:sz="4" w:space="0" w:color="auto"/>
              <w:right w:val="single" w:sz="4" w:space="0" w:color="auto"/>
            </w:tcBorders>
            <w:shd w:val="clear" w:color="auto" w:fill="auto"/>
            <w:vAlign w:val="center"/>
            <w:hideMark/>
          </w:tcPr>
          <w:p w:rsidR="003F1B74" w:rsidRPr="00653144" w:rsidRDefault="003F1B74" w:rsidP="003F1B74">
            <w:pPr>
              <w:jc w:val="left"/>
              <w:rPr>
                <w:b/>
                <w:bCs/>
                <w:sz w:val="21"/>
                <w:szCs w:val="21"/>
              </w:rPr>
            </w:pPr>
            <w:r w:rsidRPr="00653144">
              <w:rPr>
                <w:b/>
                <w:bCs/>
                <w:color w:val="231F20"/>
                <w:sz w:val="21"/>
                <w:szCs w:val="21"/>
              </w:rPr>
              <w:t>Zinc-rich primer</w:t>
            </w:r>
            <w:r w:rsidR="00474147">
              <w:rPr>
                <w:b/>
                <w:bCs/>
                <w:color w:val="231F20"/>
                <w:sz w:val="21"/>
                <w:szCs w:val="21"/>
                <w:vertAlign w:val="superscript"/>
              </w:rPr>
              <w:t>2</w:t>
            </w:r>
          </w:p>
        </w:tc>
        <w:tc>
          <w:tcPr>
            <w:tcW w:w="2520" w:type="dxa"/>
            <w:tcBorders>
              <w:top w:val="nil"/>
              <w:left w:val="nil"/>
              <w:bottom w:val="single" w:sz="4" w:space="0" w:color="auto"/>
              <w:right w:val="single" w:sz="4" w:space="0" w:color="auto"/>
            </w:tcBorders>
            <w:shd w:val="clear" w:color="auto" w:fill="auto"/>
            <w:vAlign w:val="center"/>
            <w:hideMark/>
          </w:tcPr>
          <w:p w:rsidR="003F1B74" w:rsidRPr="00653144" w:rsidRDefault="00474147" w:rsidP="003F1B74">
            <w:pPr>
              <w:jc w:val="center"/>
              <w:rPr>
                <w:b/>
                <w:bCs/>
                <w:sz w:val="21"/>
                <w:szCs w:val="21"/>
              </w:rPr>
            </w:pPr>
            <w:r>
              <w:rPr>
                <w:color w:val="000000"/>
                <w:sz w:val="21"/>
                <w:szCs w:val="21"/>
              </w:rPr>
              <w:t>---</w:t>
            </w:r>
            <w:r w:rsidRPr="00474147">
              <w:rPr>
                <w:color w:val="000000"/>
                <w:sz w:val="21"/>
                <w:szCs w:val="21"/>
                <w:vertAlign w:val="superscript"/>
              </w:rPr>
              <w:t>1</w:t>
            </w:r>
            <w:r w:rsidRPr="00653144">
              <w:rPr>
                <w:color w:val="000000"/>
                <w:sz w:val="21"/>
                <w:szCs w:val="21"/>
              </w:rPr>
              <w:t> </w:t>
            </w:r>
          </w:p>
        </w:tc>
        <w:tc>
          <w:tcPr>
            <w:tcW w:w="2405" w:type="dxa"/>
            <w:tcBorders>
              <w:top w:val="nil"/>
              <w:left w:val="nil"/>
              <w:bottom w:val="single" w:sz="4" w:space="0" w:color="auto"/>
              <w:right w:val="single" w:sz="4" w:space="0" w:color="auto"/>
            </w:tcBorders>
            <w:shd w:val="clear" w:color="auto" w:fill="auto"/>
            <w:vAlign w:val="center"/>
            <w:hideMark/>
          </w:tcPr>
          <w:p w:rsidR="003F1B74" w:rsidRPr="00653144" w:rsidRDefault="003F1B74" w:rsidP="003F1B74">
            <w:pPr>
              <w:jc w:val="center"/>
              <w:rPr>
                <w:color w:val="231F20"/>
                <w:sz w:val="21"/>
                <w:szCs w:val="21"/>
              </w:rPr>
            </w:pPr>
            <w:r w:rsidRPr="00653144">
              <w:rPr>
                <w:color w:val="231F20"/>
                <w:sz w:val="21"/>
                <w:szCs w:val="21"/>
              </w:rPr>
              <w:t>340</w:t>
            </w:r>
          </w:p>
        </w:tc>
      </w:tr>
      <w:tr w:rsidR="00474147" w:rsidRPr="00653144" w:rsidTr="00653144">
        <w:trPr>
          <w:trHeight w:val="288"/>
        </w:trPr>
        <w:tc>
          <w:tcPr>
            <w:tcW w:w="9340" w:type="dxa"/>
            <w:gridSpan w:val="3"/>
            <w:tcBorders>
              <w:top w:val="nil"/>
              <w:left w:val="nil"/>
              <w:bottom w:val="nil"/>
              <w:right w:val="nil"/>
            </w:tcBorders>
            <w:shd w:val="clear" w:color="auto" w:fill="auto"/>
            <w:vAlign w:val="bottom"/>
          </w:tcPr>
          <w:p w:rsidR="00474147" w:rsidRPr="00474147" w:rsidRDefault="00474147" w:rsidP="00474147">
            <w:pPr>
              <w:rPr>
                <w:rFonts w:eastAsiaTheme="minorHAnsi"/>
                <w:sz w:val="20"/>
              </w:rPr>
            </w:pPr>
            <w:r w:rsidRPr="00474147">
              <w:rPr>
                <w:color w:val="000000"/>
                <w:sz w:val="20"/>
              </w:rPr>
              <w:t xml:space="preserve">1 </w:t>
            </w:r>
            <w:r w:rsidRPr="00474147">
              <w:rPr>
                <w:rFonts w:eastAsiaTheme="minorHAnsi"/>
                <w:sz w:val="20"/>
              </w:rPr>
              <w:t>Classify as follows and apply corresponding limits in Table 1.</w:t>
            </w:r>
          </w:p>
          <w:p w:rsidR="00474147" w:rsidRPr="00474147" w:rsidRDefault="00474147" w:rsidP="00474147">
            <w:pPr>
              <w:pStyle w:val="ListParagraph"/>
              <w:numPr>
                <w:ilvl w:val="0"/>
                <w:numId w:val="31"/>
              </w:numPr>
              <w:rPr>
                <w:rFonts w:eastAsiaTheme="minorHAnsi"/>
                <w:sz w:val="20"/>
              </w:rPr>
            </w:pPr>
            <w:r w:rsidRPr="00474147">
              <w:rPr>
                <w:color w:val="000000"/>
                <w:sz w:val="20"/>
              </w:rPr>
              <w:t>Registers gloss &lt;15 on an 85-degree meter or &lt;5 on a 60-degree meter) – Flat Coating</w:t>
            </w:r>
            <w:r w:rsidRPr="00474147">
              <w:rPr>
                <w:rFonts w:eastAsiaTheme="minorHAnsi"/>
                <w:sz w:val="20"/>
              </w:rPr>
              <w:t>,</w:t>
            </w:r>
          </w:p>
          <w:p w:rsidR="00474147" w:rsidRPr="00474147" w:rsidRDefault="00474147" w:rsidP="00474147">
            <w:pPr>
              <w:pStyle w:val="ListParagraph"/>
              <w:numPr>
                <w:ilvl w:val="0"/>
                <w:numId w:val="31"/>
              </w:numPr>
              <w:rPr>
                <w:rFonts w:eastAsiaTheme="minorHAnsi"/>
                <w:sz w:val="20"/>
              </w:rPr>
            </w:pPr>
            <w:r w:rsidRPr="00474147">
              <w:rPr>
                <w:rFonts w:eastAsiaTheme="minorHAnsi"/>
                <w:sz w:val="20"/>
              </w:rPr>
              <w:t>R</w:t>
            </w:r>
            <w:r w:rsidRPr="00474147">
              <w:rPr>
                <w:color w:val="000000"/>
                <w:sz w:val="20"/>
              </w:rPr>
              <w:t xml:space="preserve">egisters gloss of ≥15 on an 85-degree meter and ≥5on a 60-degree meter) </w:t>
            </w:r>
            <w:r>
              <w:rPr>
                <w:color w:val="000000"/>
                <w:sz w:val="20"/>
              </w:rPr>
              <w:t>–</w:t>
            </w:r>
            <w:r w:rsidRPr="00474147">
              <w:rPr>
                <w:rFonts w:eastAsiaTheme="minorHAnsi"/>
                <w:sz w:val="20"/>
              </w:rPr>
              <w:t xml:space="preserve"> Nonflat</w:t>
            </w:r>
            <w:r>
              <w:rPr>
                <w:rFonts w:eastAsiaTheme="minorHAnsi"/>
                <w:sz w:val="20"/>
              </w:rPr>
              <w:t xml:space="preserve"> </w:t>
            </w:r>
            <w:r w:rsidRPr="00474147">
              <w:rPr>
                <w:rFonts w:eastAsiaTheme="minorHAnsi"/>
                <w:sz w:val="20"/>
              </w:rPr>
              <w:t xml:space="preserve"> Coating</w:t>
            </w:r>
            <w:r>
              <w:rPr>
                <w:rFonts w:eastAsiaTheme="minorHAnsi"/>
                <w:sz w:val="20"/>
              </w:rPr>
              <w:t xml:space="preserve"> </w:t>
            </w:r>
          </w:p>
          <w:p w:rsidR="00474147" w:rsidRPr="00474147" w:rsidRDefault="00474147" w:rsidP="00474147">
            <w:pPr>
              <w:pStyle w:val="ListParagraph"/>
              <w:numPr>
                <w:ilvl w:val="0"/>
                <w:numId w:val="31"/>
              </w:numPr>
              <w:rPr>
                <w:rFonts w:eastAsiaTheme="minorHAnsi"/>
                <w:sz w:val="20"/>
              </w:rPr>
            </w:pPr>
            <w:r w:rsidRPr="00474147">
              <w:rPr>
                <w:rFonts w:eastAsiaTheme="minorHAnsi"/>
                <w:sz w:val="20"/>
              </w:rPr>
              <w:t>R</w:t>
            </w:r>
            <w:r w:rsidRPr="00474147">
              <w:rPr>
                <w:color w:val="000000"/>
                <w:sz w:val="20"/>
              </w:rPr>
              <w:t>egisters gloss of ≥70 on a 60-degree meter</w:t>
            </w:r>
            <w:r w:rsidRPr="00474147">
              <w:rPr>
                <w:rFonts w:eastAsiaTheme="minorHAnsi"/>
                <w:sz w:val="20"/>
              </w:rPr>
              <w:t xml:space="preserve"> </w:t>
            </w:r>
            <w:r>
              <w:rPr>
                <w:rFonts w:eastAsiaTheme="minorHAnsi"/>
                <w:sz w:val="20"/>
              </w:rPr>
              <w:t>–</w:t>
            </w:r>
            <w:r w:rsidRPr="00474147">
              <w:rPr>
                <w:rFonts w:eastAsiaTheme="minorHAnsi"/>
                <w:sz w:val="20"/>
              </w:rPr>
              <w:t xml:space="preserve"> Nonflat-High Gloss Coating</w:t>
            </w:r>
          </w:p>
        </w:tc>
      </w:tr>
      <w:tr w:rsidR="00516A85" w:rsidRPr="00653144" w:rsidTr="00653144">
        <w:trPr>
          <w:trHeight w:val="288"/>
        </w:trPr>
        <w:tc>
          <w:tcPr>
            <w:tcW w:w="9340" w:type="dxa"/>
            <w:gridSpan w:val="3"/>
            <w:tcBorders>
              <w:top w:val="nil"/>
              <w:left w:val="nil"/>
              <w:bottom w:val="nil"/>
              <w:right w:val="nil"/>
            </w:tcBorders>
            <w:shd w:val="clear" w:color="auto" w:fill="auto"/>
            <w:vAlign w:val="bottom"/>
            <w:hideMark/>
          </w:tcPr>
          <w:p w:rsidR="00516A85" w:rsidRPr="00474147" w:rsidRDefault="00474147" w:rsidP="00572CAB">
            <w:pPr>
              <w:jc w:val="left"/>
              <w:rPr>
                <w:color w:val="000000"/>
                <w:sz w:val="20"/>
              </w:rPr>
            </w:pPr>
            <w:r w:rsidRPr="00474147">
              <w:rPr>
                <w:color w:val="000000"/>
                <w:sz w:val="20"/>
              </w:rPr>
              <w:t>2</w:t>
            </w:r>
            <w:r w:rsidR="00516A85" w:rsidRPr="00474147">
              <w:rPr>
                <w:color w:val="000000"/>
                <w:sz w:val="20"/>
              </w:rPr>
              <w:t xml:space="preserve"> </w:t>
            </w:r>
            <w:r w:rsidR="00572CAB" w:rsidRPr="00474147">
              <w:rPr>
                <w:color w:val="000000"/>
                <w:sz w:val="20"/>
              </w:rPr>
              <w:t>Container must be appropriately labeled. See RCSA 22a-174-41a</w:t>
            </w:r>
          </w:p>
        </w:tc>
      </w:tr>
      <w:tr w:rsidR="00516A85" w:rsidRPr="00653144" w:rsidTr="00653144">
        <w:trPr>
          <w:trHeight w:val="288"/>
        </w:trPr>
        <w:tc>
          <w:tcPr>
            <w:tcW w:w="9340" w:type="dxa"/>
            <w:gridSpan w:val="3"/>
            <w:tcBorders>
              <w:top w:val="nil"/>
              <w:left w:val="nil"/>
              <w:bottom w:val="nil"/>
              <w:right w:val="nil"/>
            </w:tcBorders>
            <w:shd w:val="clear" w:color="auto" w:fill="auto"/>
            <w:vAlign w:val="bottom"/>
            <w:hideMark/>
          </w:tcPr>
          <w:p w:rsidR="00516A85" w:rsidRPr="00474147" w:rsidRDefault="00474147" w:rsidP="00572CAB">
            <w:pPr>
              <w:jc w:val="left"/>
              <w:rPr>
                <w:color w:val="000000"/>
                <w:sz w:val="20"/>
              </w:rPr>
            </w:pPr>
            <w:r w:rsidRPr="00474147">
              <w:rPr>
                <w:color w:val="000000"/>
                <w:sz w:val="20"/>
              </w:rPr>
              <w:t>3</w:t>
            </w:r>
            <w:r w:rsidR="00516A85" w:rsidRPr="00474147">
              <w:rPr>
                <w:color w:val="000000"/>
                <w:sz w:val="20"/>
              </w:rPr>
              <w:t xml:space="preserve"> </w:t>
            </w:r>
            <w:r w:rsidR="00572CAB" w:rsidRPr="00474147">
              <w:rPr>
                <w:color w:val="000000"/>
                <w:sz w:val="20"/>
              </w:rPr>
              <w:t>“Clear Wood Coating – Lacquer” includes lacquer sanding sealer</w:t>
            </w:r>
          </w:p>
        </w:tc>
      </w:tr>
      <w:tr w:rsidR="00516A85" w:rsidRPr="00653144" w:rsidTr="00653144">
        <w:trPr>
          <w:trHeight w:val="288"/>
        </w:trPr>
        <w:tc>
          <w:tcPr>
            <w:tcW w:w="9340" w:type="dxa"/>
            <w:gridSpan w:val="3"/>
            <w:tcBorders>
              <w:top w:val="nil"/>
              <w:left w:val="nil"/>
              <w:bottom w:val="nil"/>
              <w:right w:val="nil"/>
            </w:tcBorders>
            <w:shd w:val="clear" w:color="auto" w:fill="auto"/>
            <w:vAlign w:val="bottom"/>
          </w:tcPr>
          <w:p w:rsidR="00516A85" w:rsidRPr="00474147" w:rsidRDefault="00474147" w:rsidP="00572CAB">
            <w:pPr>
              <w:jc w:val="left"/>
              <w:rPr>
                <w:color w:val="000000"/>
                <w:sz w:val="20"/>
              </w:rPr>
            </w:pPr>
            <w:r w:rsidRPr="00474147">
              <w:rPr>
                <w:color w:val="000000"/>
                <w:sz w:val="20"/>
              </w:rPr>
              <w:t>4</w:t>
            </w:r>
            <w:r w:rsidR="00516A85" w:rsidRPr="00474147">
              <w:rPr>
                <w:color w:val="000000"/>
                <w:sz w:val="20"/>
              </w:rPr>
              <w:t xml:space="preserve"> </w:t>
            </w:r>
            <w:r w:rsidR="00572CAB" w:rsidRPr="00474147">
              <w:rPr>
                <w:color w:val="000000"/>
                <w:sz w:val="20"/>
              </w:rPr>
              <w:t>“</w:t>
            </w:r>
            <w:r w:rsidR="00572CAB" w:rsidRPr="00474147">
              <w:rPr>
                <w:bCs/>
                <w:color w:val="231F20"/>
                <w:sz w:val="20"/>
              </w:rPr>
              <w:t>Clear Wood Coating - Sanding Sealer</w:t>
            </w:r>
            <w:r w:rsidR="00572CAB" w:rsidRPr="00474147">
              <w:rPr>
                <w:b/>
                <w:bCs/>
                <w:color w:val="231F20"/>
                <w:sz w:val="20"/>
                <w:vertAlign w:val="superscript"/>
              </w:rPr>
              <w:t xml:space="preserve">” </w:t>
            </w:r>
            <w:r w:rsidR="00572CAB" w:rsidRPr="00474147">
              <w:rPr>
                <w:bCs/>
                <w:color w:val="231F20"/>
                <w:sz w:val="20"/>
              </w:rPr>
              <w:t xml:space="preserve">does not include </w:t>
            </w:r>
            <w:r w:rsidR="00572CAB" w:rsidRPr="00474147">
              <w:rPr>
                <w:color w:val="000000"/>
                <w:sz w:val="20"/>
              </w:rPr>
              <w:t>lacquer sanding sealer</w:t>
            </w:r>
          </w:p>
        </w:tc>
      </w:tr>
    </w:tbl>
    <w:p w:rsidR="003F1B74" w:rsidRDefault="003F1B74" w:rsidP="00896086">
      <w:pPr>
        <w:rPr>
          <w:rFonts w:eastAsiaTheme="minorHAnsi"/>
          <w:u w:val="single"/>
        </w:rPr>
      </w:pPr>
    </w:p>
    <w:p w:rsidR="00653144" w:rsidRPr="00653144" w:rsidRDefault="00653144" w:rsidP="00653144">
      <w:pPr>
        <w:jc w:val="center"/>
        <w:rPr>
          <w:rFonts w:eastAsiaTheme="minorHAnsi"/>
        </w:rPr>
      </w:pPr>
      <w:r w:rsidRPr="00653144">
        <w:rPr>
          <w:rFonts w:eastAsiaTheme="minorHAnsi"/>
        </w:rPr>
        <w:t>-END-</w:t>
      </w:r>
    </w:p>
    <w:sectPr w:rsidR="00653144" w:rsidRPr="00653144" w:rsidSect="003E11CA">
      <w:headerReference w:type="default" r:id="rId8"/>
      <w:footerReference w:type="default" r:id="rId9"/>
      <w:pgSz w:w="12240" w:h="15840"/>
      <w:pgMar w:top="1980" w:right="1440" w:bottom="1080" w:left="1440"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06" w:rsidRDefault="00A92C06">
      <w:r>
        <w:separator/>
      </w:r>
    </w:p>
  </w:endnote>
  <w:endnote w:type="continuationSeparator" w:id="0">
    <w:p w:rsidR="00A92C06" w:rsidRDefault="00A9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47" w:rsidRDefault="000B3E47">
    <w:pPr>
      <w:pStyle w:val="Footer"/>
    </w:pPr>
    <w:r>
      <w:fldChar w:fldCharType="begin"/>
    </w:r>
    <w:r>
      <w:instrText xml:space="preserve"> COMMENTS  \* MERGEFORMAT </w:instrText>
    </w:r>
    <w:r>
      <w:fldChar w:fldCharType="end"/>
    </w:r>
    <w:r>
      <w:tab/>
    </w:r>
    <w:r>
      <w:rPr>
        <w:rStyle w:val="PageNumber"/>
      </w:rPr>
      <w:tab/>
    </w:r>
    <w:r w:rsidR="001319DD">
      <w:rPr>
        <w:rStyle w:val="PageNumber"/>
      </w:rPr>
      <w:t>GENERAL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06" w:rsidRDefault="00A92C06">
      <w:r>
        <w:separator/>
      </w:r>
    </w:p>
  </w:footnote>
  <w:footnote w:type="continuationSeparator" w:id="0">
    <w:p w:rsidR="00A92C06" w:rsidRDefault="00A9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95" w:rsidRDefault="003E11CA" w:rsidP="00041795">
    <w:pPr>
      <w:pStyle w:val="Header"/>
      <w:jc w:val="right"/>
    </w:pPr>
    <w:r>
      <w:t>6/</w:t>
    </w:r>
    <w:r w:rsidR="00FF08B2">
      <w:t>26</w:t>
    </w:r>
    <w:r w:rsidR="00C06A99">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00F8511C"/>
    <w:multiLevelType w:val="hybridMultilevel"/>
    <w:tmpl w:val="5D10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9913E5"/>
    <w:multiLevelType w:val="hybridMultilevel"/>
    <w:tmpl w:val="C442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40013"/>
    <w:multiLevelType w:val="hybridMultilevel"/>
    <w:tmpl w:val="1D303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413237"/>
    <w:multiLevelType w:val="hybridMultilevel"/>
    <w:tmpl w:val="3712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3048D"/>
    <w:multiLevelType w:val="hybridMultilevel"/>
    <w:tmpl w:val="89D4ED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8">
    <w:nsid w:val="1B2045B2"/>
    <w:multiLevelType w:val="hybridMultilevel"/>
    <w:tmpl w:val="DFBE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10">
    <w:nsid w:val="212D78EB"/>
    <w:multiLevelType w:val="hybridMultilevel"/>
    <w:tmpl w:val="64E2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500ED"/>
    <w:multiLevelType w:val="hybridMultilevel"/>
    <w:tmpl w:val="500C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72E68"/>
    <w:multiLevelType w:val="hybridMultilevel"/>
    <w:tmpl w:val="55700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791BD3"/>
    <w:multiLevelType w:val="hybridMultilevel"/>
    <w:tmpl w:val="D592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15">
    <w:nsid w:val="392917D6"/>
    <w:multiLevelType w:val="hybridMultilevel"/>
    <w:tmpl w:val="CA00E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F0451"/>
    <w:multiLevelType w:val="hybridMultilevel"/>
    <w:tmpl w:val="A978FA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580D7D"/>
    <w:multiLevelType w:val="hybridMultilevel"/>
    <w:tmpl w:val="4FA875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19">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20">
    <w:nsid w:val="4EA3782B"/>
    <w:multiLevelType w:val="hybridMultilevel"/>
    <w:tmpl w:val="2B0A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6165C2"/>
    <w:multiLevelType w:val="hybridMultilevel"/>
    <w:tmpl w:val="FA2E6A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7729EE"/>
    <w:multiLevelType w:val="singleLevel"/>
    <w:tmpl w:val="4D1ED844"/>
    <w:lvl w:ilvl="0">
      <w:start w:val="9"/>
      <w:numFmt w:val="lowerLetter"/>
      <w:lvlText w:val="(%1)"/>
      <w:lvlJc w:val="left"/>
      <w:pPr>
        <w:tabs>
          <w:tab w:val="num" w:pos="360"/>
        </w:tabs>
        <w:ind w:left="360" w:hanging="360"/>
      </w:pPr>
      <w:rPr>
        <w:rFonts w:hint="default"/>
      </w:rPr>
    </w:lvl>
  </w:abstractNum>
  <w:abstractNum w:abstractNumId="23">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24">
    <w:nsid w:val="5D705453"/>
    <w:multiLevelType w:val="singleLevel"/>
    <w:tmpl w:val="1018A8AE"/>
    <w:lvl w:ilvl="0">
      <w:start w:val="1"/>
      <w:numFmt w:val="decimal"/>
      <w:lvlText w:val="%1."/>
      <w:lvlJc w:val="left"/>
      <w:pPr>
        <w:tabs>
          <w:tab w:val="num" w:pos="360"/>
        </w:tabs>
        <w:ind w:left="360" w:hanging="360"/>
      </w:pPr>
      <w:rPr>
        <w:rFonts w:hint="default"/>
      </w:rPr>
    </w:lvl>
  </w:abstractNum>
  <w:abstractNum w:abstractNumId="25">
    <w:nsid w:val="5EF2312E"/>
    <w:multiLevelType w:val="hybridMultilevel"/>
    <w:tmpl w:val="C2D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5654F"/>
    <w:multiLevelType w:val="hybridMultilevel"/>
    <w:tmpl w:val="9346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28">
    <w:nsid w:val="68D340C1"/>
    <w:multiLevelType w:val="hybridMultilevel"/>
    <w:tmpl w:val="7780C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044C6E"/>
    <w:multiLevelType w:val="hybridMultilevel"/>
    <w:tmpl w:val="A9105DC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B16C6C"/>
    <w:multiLevelType w:val="hybridMultilevel"/>
    <w:tmpl w:val="32CA0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9"/>
  </w:num>
  <w:num w:numId="3">
    <w:abstractNumId w:val="14"/>
  </w:num>
  <w:num w:numId="4">
    <w:abstractNumId w:val="27"/>
  </w:num>
  <w:num w:numId="5">
    <w:abstractNumId w:val="9"/>
  </w:num>
  <w:num w:numId="6">
    <w:abstractNumId w:val="23"/>
  </w:num>
  <w:num w:numId="7">
    <w:abstractNumId w:val="7"/>
  </w:num>
  <w:num w:numId="8">
    <w:abstractNumId w:val="0"/>
  </w:num>
  <w:num w:numId="9">
    <w:abstractNumId w:val="18"/>
  </w:num>
  <w:num w:numId="10">
    <w:abstractNumId w:val="24"/>
  </w:num>
  <w:num w:numId="11">
    <w:abstractNumId w:val="16"/>
  </w:num>
  <w:num w:numId="12">
    <w:abstractNumId w:val="30"/>
  </w:num>
  <w:num w:numId="13">
    <w:abstractNumId w:val="5"/>
  </w:num>
  <w:num w:numId="14">
    <w:abstractNumId w:val="3"/>
  </w:num>
  <w:num w:numId="15">
    <w:abstractNumId w:val="28"/>
  </w:num>
  <w:num w:numId="16">
    <w:abstractNumId w:val="17"/>
  </w:num>
  <w:num w:numId="17">
    <w:abstractNumId w:val="20"/>
  </w:num>
  <w:num w:numId="18">
    <w:abstractNumId w:val="12"/>
  </w:num>
  <w:num w:numId="19">
    <w:abstractNumId w:val="15"/>
  </w:num>
  <w:num w:numId="20">
    <w:abstractNumId w:val="1"/>
  </w:num>
  <w:num w:numId="21">
    <w:abstractNumId w:val="22"/>
  </w:num>
  <w:num w:numId="22">
    <w:abstractNumId w:val="10"/>
  </w:num>
  <w:num w:numId="23">
    <w:abstractNumId w:val="13"/>
  </w:num>
  <w:num w:numId="24">
    <w:abstractNumId w:val="4"/>
  </w:num>
  <w:num w:numId="25">
    <w:abstractNumId w:val="26"/>
  </w:num>
  <w:num w:numId="26">
    <w:abstractNumId w:val="21"/>
  </w:num>
  <w:num w:numId="27">
    <w:abstractNumId w:val="29"/>
  </w:num>
  <w:num w:numId="28">
    <w:abstractNumId w:val="11"/>
  </w:num>
  <w:num w:numId="29">
    <w:abstractNumId w:val="25"/>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D1"/>
    <w:rsid w:val="0000091D"/>
    <w:rsid w:val="00002C49"/>
    <w:rsid w:val="00020258"/>
    <w:rsid w:val="000219FD"/>
    <w:rsid w:val="00023538"/>
    <w:rsid w:val="00037285"/>
    <w:rsid w:val="00041795"/>
    <w:rsid w:val="000443D5"/>
    <w:rsid w:val="00051CB8"/>
    <w:rsid w:val="00055781"/>
    <w:rsid w:val="00087B05"/>
    <w:rsid w:val="00091931"/>
    <w:rsid w:val="00091BAB"/>
    <w:rsid w:val="000A420A"/>
    <w:rsid w:val="000A6268"/>
    <w:rsid w:val="000B3E47"/>
    <w:rsid w:val="000D17C6"/>
    <w:rsid w:val="000D5ECF"/>
    <w:rsid w:val="000E2DB6"/>
    <w:rsid w:val="000E4B40"/>
    <w:rsid w:val="000F27F7"/>
    <w:rsid w:val="00121B51"/>
    <w:rsid w:val="00130A2C"/>
    <w:rsid w:val="001319DD"/>
    <w:rsid w:val="00137B84"/>
    <w:rsid w:val="0015368B"/>
    <w:rsid w:val="00154003"/>
    <w:rsid w:val="001561A6"/>
    <w:rsid w:val="0016384D"/>
    <w:rsid w:val="00174790"/>
    <w:rsid w:val="00176B6D"/>
    <w:rsid w:val="001823E6"/>
    <w:rsid w:val="00187145"/>
    <w:rsid w:val="0019468C"/>
    <w:rsid w:val="001A4ECA"/>
    <w:rsid w:val="001A6C81"/>
    <w:rsid w:val="001B70C0"/>
    <w:rsid w:val="001B75E0"/>
    <w:rsid w:val="001B780E"/>
    <w:rsid w:val="001C409D"/>
    <w:rsid w:val="001C4604"/>
    <w:rsid w:val="001E0A9F"/>
    <w:rsid w:val="001E169F"/>
    <w:rsid w:val="001F0B96"/>
    <w:rsid w:val="001F192A"/>
    <w:rsid w:val="002021E4"/>
    <w:rsid w:val="00203D4A"/>
    <w:rsid w:val="00212642"/>
    <w:rsid w:val="00234DA3"/>
    <w:rsid w:val="0023615B"/>
    <w:rsid w:val="00246BCC"/>
    <w:rsid w:val="0024792E"/>
    <w:rsid w:val="00251EB3"/>
    <w:rsid w:val="00251ED0"/>
    <w:rsid w:val="00257340"/>
    <w:rsid w:val="0027049A"/>
    <w:rsid w:val="002741DC"/>
    <w:rsid w:val="00275212"/>
    <w:rsid w:val="002764AE"/>
    <w:rsid w:val="00277D08"/>
    <w:rsid w:val="0028184E"/>
    <w:rsid w:val="00294C99"/>
    <w:rsid w:val="002A2D11"/>
    <w:rsid w:val="002B12E0"/>
    <w:rsid w:val="002B5E49"/>
    <w:rsid w:val="002B7472"/>
    <w:rsid w:val="002C2E40"/>
    <w:rsid w:val="002E3AA7"/>
    <w:rsid w:val="002E4CF5"/>
    <w:rsid w:val="002F01C5"/>
    <w:rsid w:val="00303D4B"/>
    <w:rsid w:val="00306172"/>
    <w:rsid w:val="003135D5"/>
    <w:rsid w:val="00314F39"/>
    <w:rsid w:val="00317004"/>
    <w:rsid w:val="00324090"/>
    <w:rsid w:val="003328C6"/>
    <w:rsid w:val="00332AFE"/>
    <w:rsid w:val="003426BF"/>
    <w:rsid w:val="003470B4"/>
    <w:rsid w:val="00354899"/>
    <w:rsid w:val="0037047E"/>
    <w:rsid w:val="003720B3"/>
    <w:rsid w:val="00377D1B"/>
    <w:rsid w:val="00384007"/>
    <w:rsid w:val="00394078"/>
    <w:rsid w:val="003948B6"/>
    <w:rsid w:val="003B0E6D"/>
    <w:rsid w:val="003D20E6"/>
    <w:rsid w:val="003D38BF"/>
    <w:rsid w:val="003E0B10"/>
    <w:rsid w:val="003E11CA"/>
    <w:rsid w:val="003E3261"/>
    <w:rsid w:val="003F1B74"/>
    <w:rsid w:val="003F1BC5"/>
    <w:rsid w:val="00400C2E"/>
    <w:rsid w:val="00427EDC"/>
    <w:rsid w:val="004453B1"/>
    <w:rsid w:val="00447B8A"/>
    <w:rsid w:val="004540AA"/>
    <w:rsid w:val="00462E80"/>
    <w:rsid w:val="0046445A"/>
    <w:rsid w:val="00474147"/>
    <w:rsid w:val="004828EC"/>
    <w:rsid w:val="00487F07"/>
    <w:rsid w:val="00492200"/>
    <w:rsid w:val="00495B10"/>
    <w:rsid w:val="00495FD1"/>
    <w:rsid w:val="004A15DD"/>
    <w:rsid w:val="004A2EA0"/>
    <w:rsid w:val="004B31D2"/>
    <w:rsid w:val="004B3FC7"/>
    <w:rsid w:val="004C04C5"/>
    <w:rsid w:val="004C16A3"/>
    <w:rsid w:val="004D1AB0"/>
    <w:rsid w:val="004E246E"/>
    <w:rsid w:val="004F2EBD"/>
    <w:rsid w:val="00516A85"/>
    <w:rsid w:val="005228C2"/>
    <w:rsid w:val="00532D0F"/>
    <w:rsid w:val="00562C4E"/>
    <w:rsid w:val="00563C30"/>
    <w:rsid w:val="00566CA8"/>
    <w:rsid w:val="00572CAB"/>
    <w:rsid w:val="00574257"/>
    <w:rsid w:val="005744BB"/>
    <w:rsid w:val="00577A4C"/>
    <w:rsid w:val="00577C4D"/>
    <w:rsid w:val="005975C2"/>
    <w:rsid w:val="005D1520"/>
    <w:rsid w:val="005D4639"/>
    <w:rsid w:val="005E273B"/>
    <w:rsid w:val="005E582D"/>
    <w:rsid w:val="005E6737"/>
    <w:rsid w:val="00612CFE"/>
    <w:rsid w:val="00620B0C"/>
    <w:rsid w:val="00624E80"/>
    <w:rsid w:val="00625AB7"/>
    <w:rsid w:val="006457CF"/>
    <w:rsid w:val="00650F2D"/>
    <w:rsid w:val="00653144"/>
    <w:rsid w:val="00653E37"/>
    <w:rsid w:val="00673855"/>
    <w:rsid w:val="00681A65"/>
    <w:rsid w:val="00692A9E"/>
    <w:rsid w:val="00695C48"/>
    <w:rsid w:val="006B4ADB"/>
    <w:rsid w:val="006C3539"/>
    <w:rsid w:val="006E0DE8"/>
    <w:rsid w:val="006E3EAC"/>
    <w:rsid w:val="006E66FD"/>
    <w:rsid w:val="006F176C"/>
    <w:rsid w:val="006F7E06"/>
    <w:rsid w:val="00702482"/>
    <w:rsid w:val="00725A79"/>
    <w:rsid w:val="0072622E"/>
    <w:rsid w:val="00737088"/>
    <w:rsid w:val="007378A9"/>
    <w:rsid w:val="00744280"/>
    <w:rsid w:val="00745ECF"/>
    <w:rsid w:val="00762D5F"/>
    <w:rsid w:val="0077298A"/>
    <w:rsid w:val="00773623"/>
    <w:rsid w:val="007739EB"/>
    <w:rsid w:val="00781E6A"/>
    <w:rsid w:val="00794AA0"/>
    <w:rsid w:val="007A15CA"/>
    <w:rsid w:val="007B4C17"/>
    <w:rsid w:val="007B5FD7"/>
    <w:rsid w:val="007C31E9"/>
    <w:rsid w:val="007C781E"/>
    <w:rsid w:val="007D27EE"/>
    <w:rsid w:val="007F7B24"/>
    <w:rsid w:val="00800619"/>
    <w:rsid w:val="00800C8C"/>
    <w:rsid w:val="008024AB"/>
    <w:rsid w:val="00810440"/>
    <w:rsid w:val="00811F61"/>
    <w:rsid w:val="008470F5"/>
    <w:rsid w:val="00853F34"/>
    <w:rsid w:val="00896086"/>
    <w:rsid w:val="008A192E"/>
    <w:rsid w:val="008B2650"/>
    <w:rsid w:val="008C0354"/>
    <w:rsid w:val="008C452E"/>
    <w:rsid w:val="008D1B16"/>
    <w:rsid w:val="008D3C72"/>
    <w:rsid w:val="008E3DDE"/>
    <w:rsid w:val="008E672B"/>
    <w:rsid w:val="00901D8E"/>
    <w:rsid w:val="009038F6"/>
    <w:rsid w:val="00912462"/>
    <w:rsid w:val="00915750"/>
    <w:rsid w:val="00915EF5"/>
    <w:rsid w:val="009333E6"/>
    <w:rsid w:val="00955086"/>
    <w:rsid w:val="00965AEB"/>
    <w:rsid w:val="0096678A"/>
    <w:rsid w:val="0096757D"/>
    <w:rsid w:val="009819D7"/>
    <w:rsid w:val="00981BCE"/>
    <w:rsid w:val="00983687"/>
    <w:rsid w:val="009946E6"/>
    <w:rsid w:val="009A45C8"/>
    <w:rsid w:val="009A6DF3"/>
    <w:rsid w:val="009C6E48"/>
    <w:rsid w:val="009D6013"/>
    <w:rsid w:val="009E14D1"/>
    <w:rsid w:val="009E50D1"/>
    <w:rsid w:val="009E541E"/>
    <w:rsid w:val="009E59C7"/>
    <w:rsid w:val="009E5FA0"/>
    <w:rsid w:val="009F7CE4"/>
    <w:rsid w:val="00A02493"/>
    <w:rsid w:val="00A10F8C"/>
    <w:rsid w:val="00A11B39"/>
    <w:rsid w:val="00A12841"/>
    <w:rsid w:val="00A34F39"/>
    <w:rsid w:val="00A358A1"/>
    <w:rsid w:val="00A412B0"/>
    <w:rsid w:val="00A43450"/>
    <w:rsid w:val="00A5633D"/>
    <w:rsid w:val="00A70D45"/>
    <w:rsid w:val="00A72EA3"/>
    <w:rsid w:val="00A8035A"/>
    <w:rsid w:val="00A80EB9"/>
    <w:rsid w:val="00A82869"/>
    <w:rsid w:val="00A858A2"/>
    <w:rsid w:val="00A92C06"/>
    <w:rsid w:val="00A92D01"/>
    <w:rsid w:val="00AA38F8"/>
    <w:rsid w:val="00AB41DB"/>
    <w:rsid w:val="00AB44A0"/>
    <w:rsid w:val="00AB484A"/>
    <w:rsid w:val="00AB55CF"/>
    <w:rsid w:val="00AF33ED"/>
    <w:rsid w:val="00AF56FC"/>
    <w:rsid w:val="00AF6CD4"/>
    <w:rsid w:val="00B01492"/>
    <w:rsid w:val="00B26274"/>
    <w:rsid w:val="00B33A62"/>
    <w:rsid w:val="00B35E12"/>
    <w:rsid w:val="00B416CB"/>
    <w:rsid w:val="00B543FF"/>
    <w:rsid w:val="00B71B21"/>
    <w:rsid w:val="00BB0358"/>
    <w:rsid w:val="00BB7B7E"/>
    <w:rsid w:val="00BC166B"/>
    <w:rsid w:val="00BC3F09"/>
    <w:rsid w:val="00BC7739"/>
    <w:rsid w:val="00BE6C6F"/>
    <w:rsid w:val="00C06A99"/>
    <w:rsid w:val="00C12B9C"/>
    <w:rsid w:val="00C16607"/>
    <w:rsid w:val="00C23E08"/>
    <w:rsid w:val="00C26020"/>
    <w:rsid w:val="00C31EF7"/>
    <w:rsid w:val="00C33A95"/>
    <w:rsid w:val="00C33F1C"/>
    <w:rsid w:val="00C35863"/>
    <w:rsid w:val="00C442A9"/>
    <w:rsid w:val="00C528D7"/>
    <w:rsid w:val="00C53292"/>
    <w:rsid w:val="00C60CF6"/>
    <w:rsid w:val="00C6661E"/>
    <w:rsid w:val="00C72B1B"/>
    <w:rsid w:val="00C75E43"/>
    <w:rsid w:val="00C7684C"/>
    <w:rsid w:val="00C77BB9"/>
    <w:rsid w:val="00CB2D0E"/>
    <w:rsid w:val="00CE4B5E"/>
    <w:rsid w:val="00CE6A07"/>
    <w:rsid w:val="00CF2C59"/>
    <w:rsid w:val="00CF5B98"/>
    <w:rsid w:val="00D121DD"/>
    <w:rsid w:val="00D21925"/>
    <w:rsid w:val="00D22B17"/>
    <w:rsid w:val="00D269BD"/>
    <w:rsid w:val="00D2759E"/>
    <w:rsid w:val="00D347C7"/>
    <w:rsid w:val="00D35D75"/>
    <w:rsid w:val="00D436AA"/>
    <w:rsid w:val="00D5464C"/>
    <w:rsid w:val="00D70576"/>
    <w:rsid w:val="00D757F3"/>
    <w:rsid w:val="00D90384"/>
    <w:rsid w:val="00D930CE"/>
    <w:rsid w:val="00D97906"/>
    <w:rsid w:val="00DA5ECF"/>
    <w:rsid w:val="00DC648B"/>
    <w:rsid w:val="00DE74CB"/>
    <w:rsid w:val="00DF1660"/>
    <w:rsid w:val="00DF38EC"/>
    <w:rsid w:val="00E04B6F"/>
    <w:rsid w:val="00E44A78"/>
    <w:rsid w:val="00E71189"/>
    <w:rsid w:val="00E81C77"/>
    <w:rsid w:val="00E85E8D"/>
    <w:rsid w:val="00E8794F"/>
    <w:rsid w:val="00E927F9"/>
    <w:rsid w:val="00EA2EC3"/>
    <w:rsid w:val="00ED5336"/>
    <w:rsid w:val="00EF4E0A"/>
    <w:rsid w:val="00F0139E"/>
    <w:rsid w:val="00F12E79"/>
    <w:rsid w:val="00F224C7"/>
    <w:rsid w:val="00F320A7"/>
    <w:rsid w:val="00F41614"/>
    <w:rsid w:val="00F55B41"/>
    <w:rsid w:val="00F6284A"/>
    <w:rsid w:val="00F718B9"/>
    <w:rsid w:val="00F77A79"/>
    <w:rsid w:val="00F8344D"/>
    <w:rsid w:val="00F93025"/>
    <w:rsid w:val="00F950E3"/>
    <w:rsid w:val="00F95D11"/>
    <w:rsid w:val="00FB46E2"/>
    <w:rsid w:val="00FD0775"/>
    <w:rsid w:val="00FD1ABF"/>
    <w:rsid w:val="00FD4837"/>
    <w:rsid w:val="00FD5735"/>
    <w:rsid w:val="00FD5F1F"/>
    <w:rsid w:val="00FD60E5"/>
    <w:rsid w:val="00FE0062"/>
    <w:rsid w:val="00FF00F1"/>
    <w:rsid w:val="00FF08B2"/>
    <w:rsid w:val="00FF339B"/>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link w:val="SpecHead2Char"/>
    <w:rPr>
      <w:b/>
    </w:rPr>
  </w:style>
  <w:style w:type="paragraph" w:styleId="Header">
    <w:name w:val="header"/>
    <w:basedOn w:val="Normal"/>
    <w:link w:val="HeaderChar"/>
    <w:uiPriority w:val="99"/>
    <w:pPr>
      <w:tabs>
        <w:tab w:val="center" w:pos="4320"/>
        <w:tab w:val="center" w:pos="9360"/>
      </w:tabs>
    </w:pPr>
    <w:rPr>
      <w:sz w:val="20"/>
    </w:rPr>
  </w:style>
  <w:style w:type="character" w:customStyle="1" w:styleId="SpecHead2Char">
    <w:name w:val="SpecHead2 Char"/>
    <w:link w:val="SpecHead2"/>
    <w:rsid w:val="00495FD1"/>
    <w:rPr>
      <w:b/>
      <w:sz w:val="24"/>
      <w:lang w:val="en-US" w:eastAsia="en-US" w:bidi="ar-SA"/>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BodyTextIndent">
    <w:name w:val="Body Text Indent"/>
    <w:basedOn w:val="Normal"/>
    <w:rsid w:val="00C35863"/>
    <w:pPr>
      <w:spacing w:after="120"/>
      <w:ind w:left="360"/>
    </w:pPr>
  </w:style>
  <w:style w:type="paragraph" w:styleId="DocumentMap">
    <w:name w:val="Document Map"/>
    <w:basedOn w:val="Normal"/>
    <w:semiHidden/>
    <w:rsid w:val="00981BCE"/>
    <w:pPr>
      <w:shd w:val="clear" w:color="auto" w:fill="000080"/>
    </w:pPr>
    <w:rPr>
      <w:rFonts w:ascii="Tahoma" w:hAnsi="Tahoma" w:cs="Tahoma"/>
      <w:sz w:val="20"/>
    </w:rPr>
  </w:style>
  <w:style w:type="paragraph" w:styleId="BalloonText">
    <w:name w:val="Balloon Text"/>
    <w:basedOn w:val="Normal"/>
    <w:semiHidden/>
    <w:rsid w:val="00981BCE"/>
    <w:rPr>
      <w:rFonts w:ascii="Tahoma" w:hAnsi="Tahoma" w:cs="Tahoma"/>
      <w:sz w:val="16"/>
      <w:szCs w:val="16"/>
    </w:rPr>
  </w:style>
  <w:style w:type="character" w:styleId="CommentReference">
    <w:name w:val="annotation reference"/>
    <w:semiHidden/>
    <w:rsid w:val="0000091D"/>
    <w:rPr>
      <w:sz w:val="16"/>
      <w:szCs w:val="16"/>
    </w:rPr>
  </w:style>
  <w:style w:type="paragraph" w:styleId="CommentText">
    <w:name w:val="annotation text"/>
    <w:basedOn w:val="Normal"/>
    <w:semiHidden/>
    <w:rsid w:val="0000091D"/>
    <w:rPr>
      <w:sz w:val="20"/>
    </w:rPr>
  </w:style>
  <w:style w:type="paragraph" w:styleId="CommentSubject">
    <w:name w:val="annotation subject"/>
    <w:basedOn w:val="CommentText"/>
    <w:next w:val="CommentText"/>
    <w:semiHidden/>
    <w:rsid w:val="0000091D"/>
    <w:rPr>
      <w:b/>
      <w:bCs/>
    </w:rPr>
  </w:style>
  <w:style w:type="character" w:styleId="Hyperlink">
    <w:name w:val="Hyperlink"/>
    <w:uiPriority w:val="99"/>
    <w:unhideWhenUsed/>
    <w:rsid w:val="000E4B40"/>
    <w:rPr>
      <w:color w:val="0000FF"/>
      <w:u w:val="single"/>
    </w:rPr>
  </w:style>
  <w:style w:type="paragraph" w:styleId="NormalWeb">
    <w:name w:val="Normal (Web)"/>
    <w:basedOn w:val="Normal"/>
    <w:uiPriority w:val="99"/>
    <w:unhideWhenUsed/>
    <w:rsid w:val="000E4B40"/>
    <w:pPr>
      <w:spacing w:before="100" w:beforeAutospacing="1" w:after="100" w:afterAutospacing="1"/>
      <w:jc w:val="left"/>
    </w:pPr>
    <w:rPr>
      <w:szCs w:val="24"/>
    </w:rPr>
  </w:style>
  <w:style w:type="paragraph" w:styleId="ListParagraph">
    <w:name w:val="List Paragraph"/>
    <w:basedOn w:val="Normal"/>
    <w:uiPriority w:val="34"/>
    <w:qFormat/>
    <w:rsid w:val="00BC166B"/>
    <w:pPr>
      <w:ind w:left="720"/>
    </w:pPr>
  </w:style>
  <w:style w:type="character" w:customStyle="1" w:styleId="HeaderChar">
    <w:name w:val="Header Char"/>
    <w:link w:val="Header"/>
    <w:uiPriority w:val="99"/>
    <w:rsid w:val="00332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link w:val="SpecHead2Char"/>
    <w:rPr>
      <w:b/>
    </w:rPr>
  </w:style>
  <w:style w:type="paragraph" w:styleId="Header">
    <w:name w:val="header"/>
    <w:basedOn w:val="Normal"/>
    <w:link w:val="HeaderChar"/>
    <w:uiPriority w:val="99"/>
    <w:pPr>
      <w:tabs>
        <w:tab w:val="center" w:pos="4320"/>
        <w:tab w:val="center" w:pos="9360"/>
      </w:tabs>
    </w:pPr>
    <w:rPr>
      <w:sz w:val="20"/>
    </w:rPr>
  </w:style>
  <w:style w:type="character" w:customStyle="1" w:styleId="SpecHead2Char">
    <w:name w:val="SpecHead2 Char"/>
    <w:link w:val="SpecHead2"/>
    <w:rsid w:val="00495FD1"/>
    <w:rPr>
      <w:b/>
      <w:sz w:val="24"/>
      <w:lang w:val="en-US" w:eastAsia="en-US" w:bidi="ar-SA"/>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BodyTextIndent">
    <w:name w:val="Body Text Indent"/>
    <w:basedOn w:val="Normal"/>
    <w:rsid w:val="00C35863"/>
    <w:pPr>
      <w:spacing w:after="120"/>
      <w:ind w:left="360"/>
    </w:pPr>
  </w:style>
  <w:style w:type="paragraph" w:styleId="DocumentMap">
    <w:name w:val="Document Map"/>
    <w:basedOn w:val="Normal"/>
    <w:semiHidden/>
    <w:rsid w:val="00981BCE"/>
    <w:pPr>
      <w:shd w:val="clear" w:color="auto" w:fill="000080"/>
    </w:pPr>
    <w:rPr>
      <w:rFonts w:ascii="Tahoma" w:hAnsi="Tahoma" w:cs="Tahoma"/>
      <w:sz w:val="20"/>
    </w:rPr>
  </w:style>
  <w:style w:type="paragraph" w:styleId="BalloonText">
    <w:name w:val="Balloon Text"/>
    <w:basedOn w:val="Normal"/>
    <w:semiHidden/>
    <w:rsid w:val="00981BCE"/>
    <w:rPr>
      <w:rFonts w:ascii="Tahoma" w:hAnsi="Tahoma" w:cs="Tahoma"/>
      <w:sz w:val="16"/>
      <w:szCs w:val="16"/>
    </w:rPr>
  </w:style>
  <w:style w:type="character" w:styleId="CommentReference">
    <w:name w:val="annotation reference"/>
    <w:semiHidden/>
    <w:rsid w:val="0000091D"/>
    <w:rPr>
      <w:sz w:val="16"/>
      <w:szCs w:val="16"/>
    </w:rPr>
  </w:style>
  <w:style w:type="paragraph" w:styleId="CommentText">
    <w:name w:val="annotation text"/>
    <w:basedOn w:val="Normal"/>
    <w:semiHidden/>
    <w:rsid w:val="0000091D"/>
    <w:rPr>
      <w:sz w:val="20"/>
    </w:rPr>
  </w:style>
  <w:style w:type="paragraph" w:styleId="CommentSubject">
    <w:name w:val="annotation subject"/>
    <w:basedOn w:val="CommentText"/>
    <w:next w:val="CommentText"/>
    <w:semiHidden/>
    <w:rsid w:val="0000091D"/>
    <w:rPr>
      <w:b/>
      <w:bCs/>
    </w:rPr>
  </w:style>
  <w:style w:type="character" w:styleId="Hyperlink">
    <w:name w:val="Hyperlink"/>
    <w:uiPriority w:val="99"/>
    <w:unhideWhenUsed/>
    <w:rsid w:val="000E4B40"/>
    <w:rPr>
      <w:color w:val="0000FF"/>
      <w:u w:val="single"/>
    </w:rPr>
  </w:style>
  <w:style w:type="paragraph" w:styleId="NormalWeb">
    <w:name w:val="Normal (Web)"/>
    <w:basedOn w:val="Normal"/>
    <w:uiPriority w:val="99"/>
    <w:unhideWhenUsed/>
    <w:rsid w:val="000E4B40"/>
    <w:pPr>
      <w:spacing w:before="100" w:beforeAutospacing="1" w:after="100" w:afterAutospacing="1"/>
      <w:jc w:val="left"/>
    </w:pPr>
    <w:rPr>
      <w:szCs w:val="24"/>
    </w:rPr>
  </w:style>
  <w:style w:type="paragraph" w:styleId="ListParagraph">
    <w:name w:val="List Paragraph"/>
    <w:basedOn w:val="Normal"/>
    <w:uiPriority w:val="34"/>
    <w:qFormat/>
    <w:rsid w:val="00BC166B"/>
    <w:pPr>
      <w:ind w:left="720"/>
    </w:pPr>
  </w:style>
  <w:style w:type="character" w:customStyle="1" w:styleId="HeaderChar">
    <w:name w:val="Header Char"/>
    <w:link w:val="Header"/>
    <w:uiPriority w:val="99"/>
    <w:rsid w:val="0033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92547">
      <w:bodyDiv w:val="1"/>
      <w:marLeft w:val="0"/>
      <w:marRight w:val="0"/>
      <w:marTop w:val="0"/>
      <w:marBottom w:val="0"/>
      <w:divBdr>
        <w:top w:val="none" w:sz="0" w:space="0" w:color="auto"/>
        <w:left w:val="none" w:sz="0" w:space="0" w:color="auto"/>
        <w:bottom w:val="none" w:sz="0" w:space="0" w:color="auto"/>
        <w:right w:val="none" w:sz="0" w:space="0" w:color="auto"/>
      </w:divBdr>
    </w:div>
    <w:div w:id="712728373">
      <w:bodyDiv w:val="1"/>
      <w:marLeft w:val="0"/>
      <w:marRight w:val="0"/>
      <w:marTop w:val="0"/>
      <w:marBottom w:val="0"/>
      <w:divBdr>
        <w:top w:val="none" w:sz="0" w:space="0" w:color="auto"/>
        <w:left w:val="none" w:sz="0" w:space="0" w:color="auto"/>
        <w:bottom w:val="none" w:sz="0" w:space="0" w:color="auto"/>
        <w:right w:val="none" w:sz="0" w:space="0" w:color="auto"/>
      </w:divBdr>
    </w:div>
    <w:div w:id="1154833081">
      <w:bodyDiv w:val="1"/>
      <w:marLeft w:val="0"/>
      <w:marRight w:val="0"/>
      <w:marTop w:val="0"/>
      <w:marBottom w:val="0"/>
      <w:divBdr>
        <w:top w:val="none" w:sz="0" w:space="0" w:color="auto"/>
        <w:left w:val="none" w:sz="0" w:space="0" w:color="auto"/>
        <w:bottom w:val="none" w:sz="0" w:space="0" w:color="auto"/>
        <w:right w:val="none" w:sz="0" w:space="0" w:color="auto"/>
      </w:divBdr>
    </w:div>
    <w:div w:id="2064449861">
      <w:bodyDiv w:val="1"/>
      <w:marLeft w:val="0"/>
      <w:marRight w:val="0"/>
      <w:marTop w:val="0"/>
      <w:marBottom w:val="0"/>
      <w:divBdr>
        <w:top w:val="none" w:sz="0" w:space="0" w:color="auto"/>
        <w:left w:val="none" w:sz="0" w:space="0" w:color="auto"/>
        <w:bottom w:val="none" w:sz="0" w:space="0" w:color="auto"/>
        <w:right w:val="none" w:sz="0" w:space="0" w:color="auto"/>
      </w:divBdr>
    </w:div>
    <w:div w:id="20869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ITEM #1202999A – DRILLED SHAFT TRAFFIC STRUCTURE FOUNDATION</vt:lpstr>
    </vt:vector>
  </TitlesOfParts>
  <Company>State of Connecticut</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#1202999A – DRILLED SHAFT TRAFFIC STRUCTURE FOUNDATION</dc:title>
  <dc:creator>Robert.Obey@ct.gov;Robert.MacNeill@ct.gov;Janet.Mazeau@ct.gov;Adam.Fox@ct.gov;Jason.Coite@ct.gov</dc:creator>
  <cp:lastModifiedBy>Cormier, Michael J</cp:lastModifiedBy>
  <cp:revision>5</cp:revision>
  <cp:lastPrinted>2016-01-21T17:50:00Z</cp:lastPrinted>
  <dcterms:created xsi:type="dcterms:W3CDTF">2018-06-26T17:36:00Z</dcterms:created>
  <dcterms:modified xsi:type="dcterms:W3CDTF">2018-07-06T15:42:00Z</dcterms:modified>
</cp:coreProperties>
</file>