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7" w:rsidRDefault="001426E7" w:rsidP="001426E7">
      <w:pPr>
        <w:spacing w:line="240" w:lineRule="auto"/>
        <w:jc w:val="center"/>
        <w:rPr>
          <w:rFonts w:ascii="Times New Roman" w:hAnsi="Times New Roman" w:cs="Times New Roman"/>
          <w:sz w:val="24"/>
          <w:szCs w:val="24"/>
        </w:rPr>
      </w:pPr>
      <w:r w:rsidRPr="00E45CF4">
        <w:rPr>
          <w:noProof/>
          <w:sz w:val="18"/>
          <w:szCs w:val="18"/>
        </w:rPr>
        <w:drawing>
          <wp:inline distT="0" distB="0" distL="0" distR="0" wp14:anchorId="34B5230A" wp14:editId="240DF37A">
            <wp:extent cx="1152525" cy="1178521"/>
            <wp:effectExtent l="0" t="0" r="0" b="3175"/>
            <wp:docPr id="2" name="Picture 2" descr="Description: Description: Description: Description: Description: cid:image001.png@01CD4EBD.DAAE3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cid:image001.png@01CD4EBD.DAAE3D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339" cy="1179353"/>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DA14E6" w:rsidP="001426E7">
      <w:pPr>
        <w:spacing w:line="240" w:lineRule="auto"/>
        <w:rPr>
          <w:rFonts w:ascii="Times New Roman" w:hAnsi="Times New Roman" w:cs="Times New Roman"/>
        </w:rPr>
      </w:pPr>
      <w:r>
        <w:rPr>
          <w:rFonts w:ascii="Times New Roman" w:hAnsi="Times New Roman" w:cs="Times New Roman"/>
        </w:rPr>
        <w:t>March 2</w:t>
      </w:r>
      <w:r w:rsidR="00E662DF">
        <w:rPr>
          <w:rFonts w:ascii="Times New Roman" w:hAnsi="Times New Roman" w:cs="Times New Roman"/>
        </w:rPr>
        <w:t>, 2016</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1D3093">
        <w:rPr>
          <w:rFonts w:ascii="Times New Roman" w:hAnsi="Times New Roman" w:cs="Times New Roman"/>
          <w:b/>
          <w:sz w:val="32"/>
          <w:szCs w:val="32"/>
        </w:rPr>
        <w:t xml:space="preserve">, </w:t>
      </w:r>
      <w:r w:rsidR="009642E5">
        <w:rPr>
          <w:rFonts w:ascii="Times New Roman" w:hAnsi="Times New Roman" w:cs="Times New Roman"/>
          <w:b/>
          <w:sz w:val="32"/>
          <w:szCs w:val="32"/>
        </w:rPr>
        <w:t xml:space="preserve">JANUARY </w:t>
      </w:r>
      <w:r w:rsidR="001D3093">
        <w:rPr>
          <w:rFonts w:ascii="Times New Roman" w:hAnsi="Times New Roman" w:cs="Times New Roman"/>
          <w:b/>
          <w:sz w:val="32"/>
          <w:szCs w:val="32"/>
        </w:rPr>
        <w:t xml:space="preserve">THROUGH </w:t>
      </w:r>
      <w:r w:rsidR="00F57EE7">
        <w:rPr>
          <w:rFonts w:ascii="Times New Roman" w:hAnsi="Times New Roman" w:cs="Times New Roman"/>
          <w:b/>
          <w:sz w:val="32"/>
          <w:szCs w:val="32"/>
        </w:rPr>
        <w:t>DECEMBER</w:t>
      </w:r>
      <w:r w:rsidR="009642E5">
        <w:rPr>
          <w:rFonts w:ascii="Times New Roman" w:hAnsi="Times New Roman" w:cs="Times New Roman"/>
          <w:b/>
          <w:sz w:val="32"/>
          <w:szCs w:val="32"/>
        </w:rPr>
        <w:t>,</w:t>
      </w:r>
      <w:r w:rsidR="001D3093">
        <w:rPr>
          <w:rFonts w:ascii="Times New Roman" w:hAnsi="Times New Roman" w:cs="Times New Roman"/>
          <w:b/>
          <w:sz w:val="32"/>
          <w:szCs w:val="32"/>
        </w:rPr>
        <w:t xml:space="preserve"> 2015</w:t>
      </w:r>
    </w:p>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10"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E45CF4" w:rsidRDefault="00E51DE6" w:rsidP="000437C4">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F57EE7">
        <w:rPr>
          <w:rFonts w:ascii="Times New Roman" w:hAnsi="Times New Roman" w:cs="Times New Roman"/>
          <w:sz w:val="24"/>
          <w:szCs w:val="24"/>
        </w:rPr>
        <w:t>31</w:t>
      </w:r>
      <w:r w:rsidR="002967A9">
        <w:rPr>
          <w:rFonts w:ascii="Times New Roman" w:hAnsi="Times New Roman" w:cs="Times New Roman"/>
          <w:sz w:val="24"/>
          <w:szCs w:val="24"/>
        </w:rPr>
        <w:t>%</w:t>
      </w:r>
      <w:r w:rsidR="0010750F" w:rsidRPr="00E45CF4">
        <w:rPr>
          <w:rFonts w:ascii="Times New Roman" w:hAnsi="Times New Roman" w:cs="Times New Roman"/>
          <w:sz w:val="24"/>
          <w:szCs w:val="24"/>
        </w:rPr>
        <w:t xml:space="preserve"> of</w:t>
      </w:r>
      <w:r w:rsidR="000437C4" w:rsidRPr="00E45CF4">
        <w:rPr>
          <w:rFonts w:ascii="Times New Roman" w:hAnsi="Times New Roman" w:cs="Times New Roman"/>
          <w:sz w:val="24"/>
          <w:szCs w:val="24"/>
        </w:rPr>
        <w:t xml:space="preserve"> </w:t>
      </w:r>
      <w:proofErr w:type="spellStart"/>
      <w:r w:rsidR="00212B64">
        <w:rPr>
          <w:rFonts w:ascii="Times New Roman" w:hAnsi="Times New Roman" w:cs="Times New Roman"/>
          <w:sz w:val="24"/>
          <w:szCs w:val="24"/>
        </w:rPr>
        <w:t>Eversource</w:t>
      </w:r>
      <w:proofErr w:type="spellEnd"/>
      <w:r w:rsidR="00212B64">
        <w:rPr>
          <w:rFonts w:ascii="Times New Roman" w:hAnsi="Times New Roman" w:cs="Times New Roman"/>
          <w:sz w:val="24"/>
          <w:szCs w:val="24"/>
        </w:rPr>
        <w:t xml:space="preserve"> Energy (</w:t>
      </w:r>
      <w:proofErr w:type="spellStart"/>
      <w:r w:rsidR="00212B64">
        <w:rPr>
          <w:rFonts w:ascii="Times New Roman" w:hAnsi="Times New Roman" w:cs="Times New Roman"/>
          <w:sz w:val="24"/>
          <w:szCs w:val="24"/>
        </w:rPr>
        <w:t>Eversource</w:t>
      </w:r>
      <w:proofErr w:type="spellEnd"/>
      <w:r w:rsidR="00212B64">
        <w:rPr>
          <w:rFonts w:ascii="Times New Roman" w:hAnsi="Times New Roman" w:cs="Times New Roman"/>
          <w:sz w:val="24"/>
          <w:szCs w:val="24"/>
        </w:rPr>
        <w:t xml:space="preserve">) </w:t>
      </w:r>
      <w:r w:rsidR="005014ED">
        <w:rPr>
          <w:rFonts w:ascii="Times New Roman" w:hAnsi="Times New Roman" w:cs="Times New Roman"/>
          <w:sz w:val="24"/>
          <w:szCs w:val="24"/>
        </w:rPr>
        <w:t>r</w:t>
      </w:r>
      <w:r w:rsidR="002967A9">
        <w:rPr>
          <w:rFonts w:ascii="Times New Roman" w:hAnsi="Times New Roman" w:cs="Times New Roman"/>
          <w:sz w:val="24"/>
          <w:szCs w:val="24"/>
        </w:rPr>
        <w:t xml:space="preserve">esidential customers </w:t>
      </w:r>
      <w:r w:rsidR="000437C4" w:rsidRPr="00E45CF4">
        <w:rPr>
          <w:rFonts w:ascii="Times New Roman" w:hAnsi="Times New Roman" w:cs="Times New Roman"/>
          <w:sz w:val="24"/>
          <w:szCs w:val="24"/>
        </w:rPr>
        <w:t xml:space="preserve">and </w:t>
      </w:r>
      <w:r w:rsidR="00F57EE7">
        <w:rPr>
          <w:rFonts w:ascii="Times New Roman" w:hAnsi="Times New Roman" w:cs="Times New Roman"/>
          <w:sz w:val="24"/>
          <w:szCs w:val="24"/>
        </w:rPr>
        <w:t>36.1</w:t>
      </w:r>
      <w:r w:rsidR="002967A9">
        <w:rPr>
          <w:rFonts w:ascii="Times New Roman" w:hAnsi="Times New Roman" w:cs="Times New Roman"/>
          <w:sz w:val="24"/>
          <w:szCs w:val="24"/>
        </w:rPr>
        <w:t xml:space="preserve">% </w:t>
      </w:r>
      <w:r w:rsidR="00962C2B">
        <w:rPr>
          <w:rFonts w:ascii="Times New Roman" w:hAnsi="Times New Roman" w:cs="Times New Roman"/>
          <w:sz w:val="24"/>
          <w:szCs w:val="24"/>
        </w:rPr>
        <w:t xml:space="preserve">of </w:t>
      </w:r>
      <w:r w:rsidR="00212B64">
        <w:rPr>
          <w:rFonts w:ascii="Times New Roman" w:hAnsi="Times New Roman" w:cs="Times New Roman"/>
          <w:sz w:val="24"/>
          <w:szCs w:val="24"/>
        </w:rPr>
        <w:t xml:space="preserve">United Illuminating (UI) </w:t>
      </w:r>
      <w:r w:rsidR="000437C4" w:rsidRPr="00E45CF4">
        <w:rPr>
          <w:rFonts w:ascii="Times New Roman" w:hAnsi="Times New Roman" w:cs="Times New Roman"/>
          <w:sz w:val="24"/>
          <w:szCs w:val="24"/>
        </w:rPr>
        <w:t>residential customers</w:t>
      </w:r>
      <w:r w:rsidR="00962C2B">
        <w:rPr>
          <w:rFonts w:ascii="Times New Roman" w:hAnsi="Times New Roman" w:cs="Times New Roman"/>
          <w:sz w:val="24"/>
          <w:szCs w:val="24"/>
        </w:rPr>
        <w:t xml:space="preserve">, as of </w:t>
      </w:r>
      <w:r w:rsidR="00EE27DD">
        <w:rPr>
          <w:rFonts w:ascii="Times New Roman" w:hAnsi="Times New Roman" w:cs="Times New Roman"/>
          <w:sz w:val="24"/>
          <w:szCs w:val="24"/>
        </w:rPr>
        <w:t>November</w:t>
      </w:r>
      <w:r w:rsidR="00D82E95">
        <w:rPr>
          <w:rFonts w:ascii="Times New Roman" w:hAnsi="Times New Roman" w:cs="Times New Roman"/>
          <w:sz w:val="24"/>
          <w:szCs w:val="24"/>
        </w:rPr>
        <w:t xml:space="preserve"> </w:t>
      </w:r>
      <w:r w:rsidR="00962C2B">
        <w:rPr>
          <w:rFonts w:ascii="Times New Roman" w:hAnsi="Times New Roman" w:cs="Times New Roman"/>
          <w:sz w:val="24"/>
          <w:szCs w:val="24"/>
        </w:rPr>
        <w:t>2015</w:t>
      </w:r>
      <w:r w:rsidR="0010750F" w:rsidRPr="00E45CF4">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F57EE7">
        <w:rPr>
          <w:rFonts w:ascii="Times New Roman" w:hAnsi="Times New Roman" w:cs="Times New Roman"/>
          <w:sz w:val="24"/>
          <w:szCs w:val="24"/>
        </w:rPr>
        <w:t>December</w:t>
      </w:r>
      <w:r w:rsidR="00F74AAB" w:rsidRPr="00E45CF4">
        <w:rPr>
          <w:rFonts w:ascii="Times New Roman" w:hAnsi="Times New Roman" w:cs="Times New Roman"/>
          <w:sz w:val="24"/>
          <w:szCs w:val="24"/>
        </w:rPr>
        <w:t xml:space="preserve"> 201</w:t>
      </w:r>
      <w:r w:rsidR="005C351F">
        <w:rPr>
          <w:rFonts w:ascii="Times New Roman" w:hAnsi="Times New Roman" w:cs="Times New Roman"/>
          <w:sz w:val="24"/>
          <w:szCs w:val="24"/>
        </w:rPr>
        <w:t>5</w:t>
      </w:r>
      <w:r w:rsidR="00F74AAB" w:rsidRPr="00E45CF4">
        <w:rPr>
          <w:rFonts w:ascii="Times New Roman" w:hAnsi="Times New Roman" w:cs="Times New Roman"/>
          <w:sz w:val="24"/>
          <w:szCs w:val="24"/>
        </w:rPr>
        <w:t xml:space="preserve">, </w:t>
      </w:r>
      <w:r w:rsidR="00C1789A">
        <w:rPr>
          <w:rFonts w:ascii="Times New Roman" w:hAnsi="Times New Roman" w:cs="Times New Roman"/>
          <w:sz w:val="24"/>
          <w:szCs w:val="24"/>
        </w:rPr>
        <w:t>over</w:t>
      </w:r>
      <w:r w:rsidR="00B60370" w:rsidRPr="00E45CF4">
        <w:rPr>
          <w:rFonts w:ascii="Times New Roman" w:hAnsi="Times New Roman" w:cs="Times New Roman"/>
          <w:sz w:val="24"/>
          <w:szCs w:val="24"/>
        </w:rPr>
        <w:t xml:space="preserve"> </w:t>
      </w:r>
      <w:r w:rsidR="00C1789A">
        <w:rPr>
          <w:rFonts w:ascii="Times New Roman" w:hAnsi="Times New Roman" w:cs="Times New Roman"/>
          <w:b/>
          <w:sz w:val="24"/>
          <w:szCs w:val="24"/>
        </w:rPr>
        <w:t>eight</w:t>
      </w:r>
      <w:r w:rsidR="00176428">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proofErr w:type="spellStart"/>
      <w:r w:rsidR="00212B64">
        <w:rPr>
          <w:rFonts w:ascii="Times New Roman" w:hAnsi="Times New Roman" w:cs="Times New Roman"/>
          <w:sz w:val="24"/>
          <w:szCs w:val="24"/>
        </w:rPr>
        <w:t>Eversource</w:t>
      </w:r>
      <w:proofErr w:type="spellEnd"/>
      <w:r w:rsidR="00212B64">
        <w:rPr>
          <w:rFonts w:ascii="Times New Roman" w:hAnsi="Times New Roman" w:cs="Times New Roman"/>
          <w:sz w:val="24"/>
          <w:szCs w:val="24"/>
        </w:rPr>
        <w:t xml:space="preserve"> </w:t>
      </w:r>
      <w:r w:rsidR="00B60370" w:rsidRPr="00E45CF4">
        <w:rPr>
          <w:rFonts w:ascii="Times New Roman" w:hAnsi="Times New Roman" w:cs="Times New Roman"/>
          <w:sz w:val="24"/>
          <w:szCs w:val="24"/>
        </w:rPr>
        <w:t>territory</w:t>
      </w:r>
      <w:r w:rsidR="00176428">
        <w:rPr>
          <w:rFonts w:ascii="Times New Roman" w:hAnsi="Times New Roman" w:cs="Times New Roman"/>
          <w:sz w:val="24"/>
          <w:szCs w:val="24"/>
        </w:rPr>
        <w:t xml:space="preserve">, and </w:t>
      </w:r>
      <w:r w:rsidR="00C1789A">
        <w:rPr>
          <w:rFonts w:ascii="Times New Roman" w:hAnsi="Times New Roman" w:cs="Times New Roman"/>
          <w:sz w:val="24"/>
          <w:szCs w:val="24"/>
        </w:rPr>
        <w:t>over</w:t>
      </w:r>
      <w:r>
        <w:rPr>
          <w:rFonts w:ascii="Times New Roman" w:hAnsi="Times New Roman" w:cs="Times New Roman"/>
          <w:sz w:val="24"/>
          <w:szCs w:val="24"/>
        </w:rPr>
        <w:t xml:space="preserve"> </w:t>
      </w:r>
      <w:r w:rsidR="00C1789A">
        <w:rPr>
          <w:rFonts w:ascii="Times New Roman" w:hAnsi="Times New Roman" w:cs="Times New Roman"/>
          <w:b/>
          <w:sz w:val="24"/>
          <w:szCs w:val="24"/>
        </w:rPr>
        <w:t>seven</w:t>
      </w:r>
      <w:r w:rsidR="00176428">
        <w:rPr>
          <w:rFonts w:ascii="Times New Roman" w:hAnsi="Times New Roman" w:cs="Times New Roman"/>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F57EE7">
        <w:rPr>
          <w:rFonts w:ascii="Times New Roman" w:hAnsi="Times New Roman" w:cs="Times New Roman"/>
          <w:noProof/>
          <w:sz w:val="24"/>
          <w:szCs w:val="24"/>
        </w:rPr>
        <w:drawing>
          <wp:inline distT="0" distB="0" distL="0" distR="0" wp14:anchorId="081C5C4F">
            <wp:extent cx="2709991" cy="1857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9563" cy="1857082"/>
                    </a:xfrm>
                    <a:prstGeom prst="rect">
                      <a:avLst/>
                    </a:prstGeom>
                    <a:noFill/>
                  </pic:spPr>
                </pic:pic>
              </a:graphicData>
            </a:graphic>
          </wp:inline>
        </w:drawing>
      </w:r>
      <w:r>
        <w:rPr>
          <w:rFonts w:ascii="Times New Roman" w:hAnsi="Times New Roman" w:cs="Times New Roman"/>
          <w:sz w:val="24"/>
          <w:szCs w:val="24"/>
        </w:rPr>
        <w:t xml:space="preserve">   </w:t>
      </w:r>
      <w:r w:rsidR="00F57EE7">
        <w:rPr>
          <w:rFonts w:ascii="Times New Roman" w:hAnsi="Times New Roman" w:cs="Times New Roman"/>
          <w:noProof/>
          <w:sz w:val="24"/>
          <w:szCs w:val="24"/>
        </w:rPr>
        <w:drawing>
          <wp:inline distT="0" distB="0" distL="0" distR="0" wp14:anchorId="1ECD7370">
            <wp:extent cx="2691477" cy="184730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3202" cy="1848492"/>
                    </a:xfrm>
                    <a:prstGeom prst="rect">
                      <a:avLst/>
                    </a:prstGeom>
                    <a:noFill/>
                  </pic:spPr>
                </pic:pic>
              </a:graphicData>
            </a:graphic>
          </wp:inline>
        </w:drawing>
      </w:r>
    </w:p>
    <w:p w:rsidR="000437C4" w:rsidRPr="00E45CF4" w:rsidRDefault="0010750F" w:rsidP="00F57EE7">
      <w:pPr>
        <w:pStyle w:val="BodyText2"/>
        <w:numPr>
          <w:ilvl w:val="0"/>
          <w:numId w:val="1"/>
        </w:numPr>
        <w:spacing w:line="240" w:lineRule="auto"/>
      </w:pPr>
      <w:r w:rsidRPr="00E45CF4">
        <w:t xml:space="preserve">In the month </w:t>
      </w:r>
      <w:r w:rsidR="00F57EE7">
        <w:t>December</w:t>
      </w:r>
      <w:r w:rsidR="00794190">
        <w:t xml:space="preserve"> </w:t>
      </w:r>
      <w:r w:rsidR="005C351F">
        <w:t>2015</w:t>
      </w:r>
      <w:r w:rsidRPr="00E45CF4">
        <w:t xml:space="preserve">, </w:t>
      </w:r>
      <w:r w:rsidR="00F51E50">
        <w:t xml:space="preserve">residential </w:t>
      </w:r>
      <w:proofErr w:type="spellStart"/>
      <w:r w:rsidR="00212B64">
        <w:t>Eversource</w:t>
      </w:r>
      <w:proofErr w:type="spellEnd"/>
      <w:r w:rsidR="00212B64">
        <w:t xml:space="preserve"> </w:t>
      </w:r>
      <w:r w:rsidRPr="00E45CF4">
        <w:t xml:space="preserve">customers who chose </w:t>
      </w:r>
      <w:r w:rsidR="00F93175">
        <w:t>s</w:t>
      </w:r>
      <w:r w:rsidR="00C43E0B">
        <w:t xml:space="preserve">uppliers paid in aggregate </w:t>
      </w:r>
      <w:r w:rsidR="00F57EE7" w:rsidRPr="00F57EE7">
        <w:rPr>
          <w:b/>
        </w:rPr>
        <w:t>$6,520,931.14</w:t>
      </w:r>
      <w:r w:rsidR="00F57EE7">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0301D8" w:rsidRPr="00E45CF4">
        <w:t xml:space="preserve">uppliers paid in aggregate </w:t>
      </w:r>
      <w:r w:rsidR="00F57EE7" w:rsidRPr="00F57EE7">
        <w:rPr>
          <w:b/>
        </w:rPr>
        <w:t>$1,627,913.79</w:t>
      </w:r>
      <w:r w:rsidR="00F57EE7">
        <w:rPr>
          <w:b/>
        </w:rPr>
        <w:t xml:space="preserve"> </w:t>
      </w:r>
      <w:r w:rsidR="000301D8" w:rsidRPr="00E45CF4">
        <w:rPr>
          <w:b/>
        </w:rPr>
        <w:t>more</w:t>
      </w:r>
      <w:r w:rsidR="000301D8">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1"/>
      </w:r>
      <w:r w:rsidR="000437C4" w:rsidRPr="00E45CF4">
        <w:t xml:space="preserve">  </w:t>
      </w:r>
      <w:r w:rsidRPr="00E45CF4">
        <w:t xml:space="preserve">  </w:t>
      </w:r>
    </w:p>
    <w:p w:rsidR="000301D8" w:rsidRDefault="000301D8" w:rsidP="00B73D42">
      <w:pPr>
        <w:pStyle w:val="BodyText2"/>
        <w:numPr>
          <w:ilvl w:val="0"/>
          <w:numId w:val="1"/>
        </w:numPr>
        <w:spacing w:line="240" w:lineRule="auto"/>
      </w:pPr>
      <w:r w:rsidRPr="00CB7417">
        <w:t xml:space="preserve">For the time period of January 2015 through </w:t>
      </w:r>
      <w:r w:rsidR="00F57EE7">
        <w:t>December</w:t>
      </w:r>
      <w:r w:rsidR="00170140">
        <w:t xml:space="preserve"> </w:t>
      </w:r>
      <w:r w:rsidRPr="00CB7417">
        <w:t xml:space="preserve">2015, which includes a six month period during which the </w:t>
      </w:r>
      <w:proofErr w:type="spellStart"/>
      <w:r w:rsidR="00212B64">
        <w:t>Eversource</w:t>
      </w:r>
      <w:proofErr w:type="spellEnd"/>
      <w:r w:rsidR="00212B64">
        <w:t xml:space="preserve"> </w:t>
      </w:r>
      <w:r w:rsidR="00743ED8">
        <w:t>and UI Standard O</w:t>
      </w:r>
      <w:r w:rsidRPr="00CB7417">
        <w:t xml:space="preserve">ffer prices were unusually high, </w:t>
      </w:r>
      <w:r w:rsidR="00F51E50">
        <w:lastRenderedPageBreak/>
        <w:t xml:space="preserve">residential </w:t>
      </w:r>
      <w:r w:rsidRPr="00CB7417">
        <w:t>consumers who chose a retail supplier paid, in aggregate,</w:t>
      </w:r>
      <w:r w:rsidR="00807F10" w:rsidRPr="00CB7417">
        <w:t xml:space="preserve"> </w:t>
      </w:r>
      <w:r w:rsidR="00170140">
        <w:rPr>
          <w:b/>
          <w:color w:val="000000"/>
        </w:rPr>
        <w:t>$</w:t>
      </w:r>
      <w:r w:rsidR="00F57EE7">
        <w:rPr>
          <w:b/>
          <w:color w:val="000000"/>
        </w:rPr>
        <w:t>57,990,296.22</w:t>
      </w:r>
      <w:r w:rsidRPr="00CB7417">
        <w:rPr>
          <w:b/>
        </w:rPr>
        <w:t xml:space="preserve"> more</w:t>
      </w:r>
      <w:r w:rsidR="00743ED8">
        <w:t xml:space="preserve"> than the Standard O</w:t>
      </w:r>
      <w:r w:rsidRPr="00CB7417">
        <w:t>ffer.</w:t>
      </w:r>
    </w:p>
    <w:p w:rsidR="001071BD" w:rsidRDefault="00B06E50" w:rsidP="00B73D42">
      <w:pPr>
        <w:pStyle w:val="BodyText2"/>
        <w:numPr>
          <w:ilvl w:val="0"/>
          <w:numId w:val="1"/>
        </w:numPr>
        <w:spacing w:line="240" w:lineRule="auto"/>
      </w:pPr>
      <w:r>
        <w:t xml:space="preserve">Standard service for </w:t>
      </w:r>
      <w:proofErr w:type="spellStart"/>
      <w:r w:rsidR="00BF5462">
        <w:t>Eversource</w:t>
      </w:r>
      <w:proofErr w:type="spellEnd"/>
      <w:r w:rsidR="001071BD">
        <w:t xml:space="preserve"> customers was 12.6 cents/kWh from January 1,</w:t>
      </w:r>
      <w:r w:rsidR="001C45F3">
        <w:t xml:space="preserve"> </w:t>
      </w:r>
      <w:r w:rsidR="001071BD">
        <w:t>2015 through June 30,</w:t>
      </w:r>
      <w:r w:rsidR="001C45F3">
        <w:t xml:space="preserve"> </w:t>
      </w:r>
      <w:r w:rsidR="001071BD">
        <w:t xml:space="preserve">2015 and </w:t>
      </w:r>
      <w:r>
        <w:t xml:space="preserve">8.2 cents/kWh </w:t>
      </w:r>
      <w:r w:rsidR="001C45F3">
        <w:t>from July 1</w:t>
      </w:r>
      <w:r w:rsidR="001071BD">
        <w:t>,</w:t>
      </w:r>
      <w:r w:rsidR="001C45F3">
        <w:t xml:space="preserve"> </w:t>
      </w:r>
      <w:r w:rsidR="001071BD">
        <w:t>2015</w:t>
      </w:r>
      <w:r w:rsidR="001C45F3">
        <w:t xml:space="preserve"> </w:t>
      </w:r>
      <w:r>
        <w:t xml:space="preserve">through December 31, 2015.  </w:t>
      </w:r>
    </w:p>
    <w:p w:rsidR="00B06E50" w:rsidRDefault="00B06E50" w:rsidP="00B73D42">
      <w:pPr>
        <w:pStyle w:val="BodyText2"/>
        <w:numPr>
          <w:ilvl w:val="0"/>
          <w:numId w:val="1"/>
        </w:numPr>
        <w:spacing w:line="240" w:lineRule="auto"/>
      </w:pPr>
      <w:r>
        <w:t>Stan</w:t>
      </w:r>
      <w:r w:rsidR="001071BD">
        <w:t>dard service for UI customers was 13.35 cents/kWh from January 1,</w:t>
      </w:r>
      <w:r w:rsidR="001C45F3">
        <w:t xml:space="preserve"> </w:t>
      </w:r>
      <w:r w:rsidR="001071BD">
        <w:t>2015 through June 30,</w:t>
      </w:r>
      <w:r w:rsidR="001C45F3">
        <w:t xml:space="preserve"> </w:t>
      </w:r>
      <w:r w:rsidR="001071BD">
        <w:t>2015 and 9.12 cents/kWh from July 1,</w:t>
      </w:r>
      <w:r w:rsidR="001C45F3">
        <w:t xml:space="preserve"> </w:t>
      </w:r>
      <w:r w:rsidR="001071BD">
        <w:t>2015</w:t>
      </w:r>
      <w:r w:rsidR="00DA14E6">
        <w:t xml:space="preserve"> </w:t>
      </w:r>
      <w:r w:rsidR="001071BD">
        <w:t>through December 31, 2015.</w:t>
      </w:r>
      <w:r w:rsidR="00300222">
        <w:rPr>
          <w:rStyle w:val="FootnoteReference"/>
        </w:rPr>
        <w:footnoteReference w:id="2"/>
      </w:r>
    </w:p>
    <w:p w:rsidR="007A2A0C" w:rsidRPr="00CB7417" w:rsidRDefault="007A2A0C" w:rsidP="00B73D42">
      <w:pPr>
        <w:pStyle w:val="BodyText2"/>
        <w:numPr>
          <w:ilvl w:val="0"/>
          <w:numId w:val="1"/>
        </w:numPr>
        <w:spacing w:line="240" w:lineRule="auto"/>
      </w:pPr>
      <w:r>
        <w:t xml:space="preserve">The following table lists all electric suppliers who charged at least 20% of their </w:t>
      </w:r>
      <w:r w:rsidR="00F51E50">
        <w:t xml:space="preserve">residential </w:t>
      </w:r>
      <w:proofErr w:type="gramStart"/>
      <w:r>
        <w:t>customers</w:t>
      </w:r>
      <w:proofErr w:type="gramEnd"/>
      <w:r>
        <w:t xml:space="preserve"> 13.9 cents/kWh </w:t>
      </w:r>
      <w:r w:rsidR="00B06E50">
        <w:t xml:space="preserve">(50% higher than </w:t>
      </w:r>
      <w:proofErr w:type="spellStart"/>
      <w:r w:rsidR="00BF5462">
        <w:t>Eversource</w:t>
      </w:r>
      <w:proofErr w:type="spellEnd"/>
      <w:r w:rsidR="00B06E50">
        <w:t xml:space="preserve"> standard service) </w:t>
      </w:r>
      <w:r>
        <w:t>or more</w:t>
      </w:r>
      <w:r w:rsidR="00B06E50">
        <w:t xml:space="preserve"> </w:t>
      </w:r>
      <w:r>
        <w:t xml:space="preserve">in the month of </w:t>
      </w:r>
      <w:r w:rsidR="003864B4">
        <w:t>December</w:t>
      </w:r>
      <w:r>
        <w:t xml:space="preserve">.  The phone numbers for each supplier are taken from those listed at energizect.com or the website for that supplier.  </w:t>
      </w:r>
    </w:p>
    <w:p w:rsidR="00212B64" w:rsidRDefault="00212B64"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659A1" w:rsidTr="0061513D">
        <w:trPr>
          <w:trHeight w:val="394"/>
        </w:trPr>
        <w:tc>
          <w:tcPr>
            <w:tcW w:w="8871" w:type="dxa"/>
            <w:gridSpan w:val="4"/>
          </w:tcPr>
          <w:p w:rsidR="00F659A1" w:rsidRPr="007A2A0C" w:rsidRDefault="00F659A1" w:rsidP="00794190">
            <w:pPr>
              <w:pStyle w:val="BodyText2"/>
              <w:jc w:val="center"/>
              <w:rPr>
                <w:b/>
              </w:rPr>
            </w:pPr>
            <w:r w:rsidRPr="007A2A0C">
              <w:rPr>
                <w:b/>
              </w:rPr>
              <w:t>Suppliers Charging at Least 20% of their Customers 13.9¢/kWh or more</w:t>
            </w:r>
            <w:r w:rsidR="00BB463E">
              <w:rPr>
                <w:b/>
              </w:rPr>
              <w:t xml:space="preserve"> in </w:t>
            </w:r>
            <w:r w:rsidR="00794190">
              <w:rPr>
                <w:b/>
              </w:rPr>
              <w:t xml:space="preserve">October </w:t>
            </w:r>
          </w:p>
        </w:tc>
      </w:tr>
      <w:tr w:rsidR="00A21B14" w:rsidTr="00A0672C">
        <w:trPr>
          <w:trHeight w:val="954"/>
        </w:trPr>
        <w:tc>
          <w:tcPr>
            <w:tcW w:w="3888" w:type="dxa"/>
          </w:tcPr>
          <w:p w:rsidR="00A21B14" w:rsidRDefault="00A21B14" w:rsidP="0061513D">
            <w:pPr>
              <w:pStyle w:val="BodyText2"/>
            </w:pPr>
            <w:r>
              <w:t>Electric Suppliers</w:t>
            </w:r>
          </w:p>
        </w:tc>
        <w:tc>
          <w:tcPr>
            <w:tcW w:w="1710" w:type="dxa"/>
          </w:tcPr>
          <w:p w:rsidR="00A21B14" w:rsidRDefault="00A21B14" w:rsidP="0061513D">
            <w:pPr>
              <w:pStyle w:val="BodyText2"/>
            </w:pPr>
            <w:r>
              <w:t xml:space="preserve">% of </w:t>
            </w:r>
            <w:proofErr w:type="spellStart"/>
            <w:r>
              <w:t>Ever</w:t>
            </w:r>
            <w:r w:rsidR="00BB463E">
              <w:t>s</w:t>
            </w:r>
            <w:r>
              <w:t>o</w:t>
            </w:r>
            <w:r w:rsidR="0024192A">
              <w:t>urce</w:t>
            </w:r>
            <w:proofErr w:type="spellEnd"/>
            <w:r w:rsidR="0024192A">
              <w:t xml:space="preserve"> Customers paying over 13.9 cents</w:t>
            </w:r>
          </w:p>
        </w:tc>
        <w:tc>
          <w:tcPr>
            <w:tcW w:w="1543" w:type="dxa"/>
          </w:tcPr>
          <w:p w:rsidR="00A21B14" w:rsidRDefault="00A21B14" w:rsidP="0061513D">
            <w:pPr>
              <w:pStyle w:val="BodyText2"/>
            </w:pPr>
            <w:r>
              <w:t>% o</w:t>
            </w:r>
            <w:r w:rsidR="0024192A">
              <w:t>f UI Customers paying over 13.9 cents</w:t>
            </w:r>
          </w:p>
        </w:tc>
        <w:tc>
          <w:tcPr>
            <w:tcW w:w="1730" w:type="dxa"/>
          </w:tcPr>
          <w:p w:rsidR="00A21B14" w:rsidRDefault="00A21B14" w:rsidP="0061513D">
            <w:pPr>
              <w:pStyle w:val="BodyText2"/>
            </w:pPr>
            <w:r>
              <w:t>Supplier Phone Number</w:t>
            </w:r>
          </w:p>
        </w:tc>
      </w:tr>
      <w:tr w:rsidR="00A21B14" w:rsidTr="00A0672C">
        <w:trPr>
          <w:trHeight w:val="394"/>
        </w:trPr>
        <w:tc>
          <w:tcPr>
            <w:tcW w:w="3888" w:type="dxa"/>
          </w:tcPr>
          <w:p w:rsidR="00A21B14" w:rsidRDefault="00A21B14" w:rsidP="0061513D">
            <w:pPr>
              <w:pStyle w:val="BodyText2"/>
            </w:pPr>
            <w:r>
              <w:t>Choice Energy</w:t>
            </w:r>
          </w:p>
        </w:tc>
        <w:tc>
          <w:tcPr>
            <w:tcW w:w="1710" w:type="dxa"/>
          </w:tcPr>
          <w:p w:rsidR="00A21B14" w:rsidRDefault="004C2573" w:rsidP="0061513D">
            <w:pPr>
              <w:pStyle w:val="BodyText2"/>
            </w:pPr>
            <w:r>
              <w:t>47.41</w:t>
            </w:r>
            <w:r w:rsidR="00A21B14">
              <w:t>%</w:t>
            </w:r>
          </w:p>
        </w:tc>
        <w:tc>
          <w:tcPr>
            <w:tcW w:w="1543" w:type="dxa"/>
          </w:tcPr>
          <w:p w:rsidR="00A21B14" w:rsidRDefault="00A0672C" w:rsidP="0061513D">
            <w:pPr>
              <w:pStyle w:val="BodyText2"/>
            </w:pPr>
            <w:r>
              <w:t>56.29</w:t>
            </w:r>
            <w:r w:rsidR="00A21B14">
              <w:t>%</w:t>
            </w:r>
          </w:p>
        </w:tc>
        <w:tc>
          <w:tcPr>
            <w:tcW w:w="1730" w:type="dxa"/>
          </w:tcPr>
          <w:p w:rsidR="00A21B14" w:rsidRPr="0024192A" w:rsidRDefault="0009501F" w:rsidP="0061513D">
            <w:pPr>
              <w:pStyle w:val="BodyText2"/>
              <w:rPr>
                <w:sz w:val="22"/>
                <w:szCs w:val="22"/>
              </w:rPr>
            </w:pPr>
            <w:r w:rsidRPr="0024192A">
              <w:rPr>
                <w:sz w:val="22"/>
                <w:szCs w:val="22"/>
                <w:shd w:val="clear" w:color="auto" w:fill="F2F2F2"/>
              </w:rPr>
              <w:t>(888) 565-4490</w:t>
            </w:r>
          </w:p>
        </w:tc>
      </w:tr>
      <w:tr w:rsidR="00A21B14" w:rsidTr="00A0672C">
        <w:trPr>
          <w:trHeight w:val="394"/>
        </w:trPr>
        <w:tc>
          <w:tcPr>
            <w:tcW w:w="3888" w:type="dxa"/>
          </w:tcPr>
          <w:p w:rsidR="00A21B14" w:rsidRDefault="00A21B14" w:rsidP="0061513D">
            <w:pPr>
              <w:pStyle w:val="BodyText2"/>
            </w:pPr>
            <w:proofErr w:type="spellStart"/>
            <w:r>
              <w:t>Clearview</w:t>
            </w:r>
            <w:proofErr w:type="spellEnd"/>
            <w:r>
              <w:t xml:space="preserve"> Electric</w:t>
            </w:r>
          </w:p>
        </w:tc>
        <w:tc>
          <w:tcPr>
            <w:tcW w:w="1710" w:type="dxa"/>
          </w:tcPr>
          <w:p w:rsidR="00A21B14" w:rsidRDefault="004C2573" w:rsidP="0061513D">
            <w:pPr>
              <w:pStyle w:val="BodyText2"/>
            </w:pPr>
            <w:r>
              <w:t>35.41</w:t>
            </w:r>
            <w:r w:rsidR="00A21B14">
              <w:t>%</w:t>
            </w:r>
          </w:p>
        </w:tc>
        <w:tc>
          <w:tcPr>
            <w:tcW w:w="1543" w:type="dxa"/>
          </w:tcPr>
          <w:p w:rsidR="00A21B14" w:rsidRDefault="00A0672C" w:rsidP="0061513D">
            <w:pPr>
              <w:pStyle w:val="BodyText2"/>
            </w:pPr>
            <w:r>
              <w:t>31.04</w:t>
            </w:r>
            <w:r w:rsidR="00A21B14">
              <w:t>%</w:t>
            </w:r>
          </w:p>
        </w:tc>
        <w:tc>
          <w:tcPr>
            <w:tcW w:w="1730" w:type="dxa"/>
          </w:tcPr>
          <w:p w:rsidR="00A21B14" w:rsidRPr="0024192A" w:rsidRDefault="0009501F" w:rsidP="0061513D">
            <w:pPr>
              <w:pStyle w:val="BodyText2"/>
              <w:rPr>
                <w:sz w:val="22"/>
                <w:szCs w:val="22"/>
              </w:rPr>
            </w:pPr>
            <w:r w:rsidRPr="0024192A">
              <w:rPr>
                <w:sz w:val="22"/>
                <w:szCs w:val="22"/>
                <w:shd w:val="clear" w:color="auto" w:fill="F2F2F2"/>
              </w:rPr>
              <w:t>(888) 257-8439</w:t>
            </w:r>
          </w:p>
        </w:tc>
      </w:tr>
      <w:tr w:rsidR="004E6BA6" w:rsidTr="00A0672C">
        <w:trPr>
          <w:trHeight w:val="394"/>
        </w:trPr>
        <w:tc>
          <w:tcPr>
            <w:tcW w:w="3888" w:type="dxa"/>
          </w:tcPr>
          <w:p w:rsidR="004E6BA6" w:rsidRDefault="004E6BA6" w:rsidP="0061513D">
            <w:pPr>
              <w:pStyle w:val="BodyText2"/>
            </w:pPr>
            <w:r>
              <w:t>Direct Energy Services, LLC</w:t>
            </w:r>
          </w:p>
        </w:tc>
        <w:tc>
          <w:tcPr>
            <w:tcW w:w="1710" w:type="dxa"/>
          </w:tcPr>
          <w:p w:rsidR="004E6BA6" w:rsidRDefault="004C2573" w:rsidP="0061513D">
            <w:pPr>
              <w:pStyle w:val="BodyText2"/>
            </w:pPr>
            <w:r>
              <w:t>32.40</w:t>
            </w:r>
            <w:r w:rsidR="004E6BA6">
              <w:t>%</w:t>
            </w:r>
          </w:p>
        </w:tc>
        <w:tc>
          <w:tcPr>
            <w:tcW w:w="1543" w:type="dxa"/>
          </w:tcPr>
          <w:p w:rsidR="004E6BA6" w:rsidRDefault="00A0672C" w:rsidP="0061513D">
            <w:pPr>
              <w:pStyle w:val="BodyText2"/>
            </w:pPr>
            <w:r>
              <w:t>32.65</w:t>
            </w:r>
            <w:r w:rsidR="004E6BA6">
              <w:t>%</w:t>
            </w:r>
          </w:p>
        </w:tc>
        <w:tc>
          <w:tcPr>
            <w:tcW w:w="1730" w:type="dxa"/>
          </w:tcPr>
          <w:p w:rsidR="004E6BA6" w:rsidRPr="0024192A" w:rsidRDefault="004E6BA6" w:rsidP="0061513D">
            <w:pPr>
              <w:pStyle w:val="BodyText2"/>
              <w:rPr>
                <w:sz w:val="22"/>
                <w:szCs w:val="22"/>
              </w:rPr>
            </w:pPr>
            <w:r w:rsidRPr="0024192A">
              <w:rPr>
                <w:sz w:val="22"/>
                <w:szCs w:val="22"/>
                <w:shd w:val="clear" w:color="auto" w:fill="F2F2F2"/>
              </w:rPr>
              <w:t>(888) 998-6415</w:t>
            </w:r>
          </w:p>
        </w:tc>
      </w:tr>
      <w:tr w:rsidR="004E6BA6" w:rsidTr="00A0672C">
        <w:trPr>
          <w:trHeight w:val="394"/>
        </w:trPr>
        <w:tc>
          <w:tcPr>
            <w:tcW w:w="3888" w:type="dxa"/>
          </w:tcPr>
          <w:p w:rsidR="004E6BA6" w:rsidRDefault="004E6BA6" w:rsidP="0061513D">
            <w:pPr>
              <w:pStyle w:val="BodyText2"/>
            </w:pPr>
            <w:r>
              <w:t>Energy Plus Holdings, LLC</w:t>
            </w:r>
          </w:p>
        </w:tc>
        <w:tc>
          <w:tcPr>
            <w:tcW w:w="1710" w:type="dxa"/>
          </w:tcPr>
          <w:p w:rsidR="004E6BA6" w:rsidRDefault="004C2573" w:rsidP="0061513D">
            <w:pPr>
              <w:pStyle w:val="BodyText2"/>
            </w:pPr>
            <w:r>
              <w:t>70.77</w:t>
            </w:r>
            <w:r w:rsidR="004E6BA6">
              <w:t>%</w:t>
            </w:r>
          </w:p>
        </w:tc>
        <w:tc>
          <w:tcPr>
            <w:tcW w:w="1543" w:type="dxa"/>
          </w:tcPr>
          <w:p w:rsidR="004E6BA6" w:rsidRDefault="00A0672C" w:rsidP="0061513D">
            <w:pPr>
              <w:pStyle w:val="BodyText2"/>
            </w:pPr>
            <w:r>
              <w:t>64.76</w:t>
            </w:r>
            <w:r w:rsidR="004E6BA6">
              <w:t>%</w:t>
            </w:r>
          </w:p>
        </w:tc>
        <w:tc>
          <w:tcPr>
            <w:tcW w:w="1730" w:type="dxa"/>
          </w:tcPr>
          <w:p w:rsidR="004E6BA6" w:rsidRPr="0024192A" w:rsidRDefault="004E6BA6" w:rsidP="0061513D">
            <w:pPr>
              <w:pStyle w:val="BodyText2"/>
              <w:rPr>
                <w:sz w:val="22"/>
                <w:szCs w:val="22"/>
              </w:rPr>
            </w:pPr>
            <w:r>
              <w:rPr>
                <w:sz w:val="22"/>
                <w:szCs w:val="22"/>
                <w:shd w:val="clear" w:color="auto" w:fill="FFFFFF"/>
              </w:rPr>
              <w:t xml:space="preserve">(888) </w:t>
            </w:r>
            <w:r w:rsidRPr="0024192A">
              <w:rPr>
                <w:sz w:val="22"/>
                <w:szCs w:val="22"/>
                <w:shd w:val="clear" w:color="auto" w:fill="FFFFFF"/>
              </w:rPr>
              <w:t>766-3509</w:t>
            </w:r>
          </w:p>
        </w:tc>
      </w:tr>
      <w:tr w:rsidR="004E6BA6" w:rsidTr="00A0672C">
        <w:trPr>
          <w:trHeight w:val="394"/>
        </w:trPr>
        <w:tc>
          <w:tcPr>
            <w:tcW w:w="3888" w:type="dxa"/>
          </w:tcPr>
          <w:p w:rsidR="004E6BA6" w:rsidRDefault="004E6BA6" w:rsidP="0061513D">
            <w:pPr>
              <w:pStyle w:val="BodyText2"/>
            </w:pPr>
            <w:r>
              <w:t>NRG Retail Solutions</w:t>
            </w:r>
          </w:p>
        </w:tc>
        <w:tc>
          <w:tcPr>
            <w:tcW w:w="1710" w:type="dxa"/>
          </w:tcPr>
          <w:p w:rsidR="004E6BA6" w:rsidRDefault="004C2573" w:rsidP="0061513D">
            <w:pPr>
              <w:pStyle w:val="BodyText2"/>
            </w:pPr>
            <w:r>
              <w:t>81.84</w:t>
            </w:r>
            <w:r w:rsidR="004E6BA6">
              <w:t>%</w:t>
            </w:r>
          </w:p>
        </w:tc>
        <w:tc>
          <w:tcPr>
            <w:tcW w:w="1543" w:type="dxa"/>
          </w:tcPr>
          <w:p w:rsidR="004E6BA6" w:rsidRDefault="004E6BA6" w:rsidP="0061513D">
            <w:pPr>
              <w:pStyle w:val="BodyText2"/>
            </w:pPr>
            <w:r>
              <w:t>N/A</w:t>
            </w:r>
          </w:p>
        </w:tc>
        <w:tc>
          <w:tcPr>
            <w:tcW w:w="1730" w:type="dxa"/>
          </w:tcPr>
          <w:p w:rsidR="004E6BA6" w:rsidRPr="0024192A" w:rsidRDefault="004E6BA6" w:rsidP="0061513D">
            <w:pPr>
              <w:pStyle w:val="BodyText2"/>
              <w:rPr>
                <w:sz w:val="22"/>
                <w:szCs w:val="22"/>
              </w:rPr>
            </w:pPr>
            <w:r>
              <w:rPr>
                <w:sz w:val="22"/>
                <w:szCs w:val="22"/>
                <w:shd w:val="clear" w:color="auto" w:fill="FFFFFF"/>
              </w:rPr>
              <w:t xml:space="preserve">(855) </w:t>
            </w:r>
            <w:r w:rsidRPr="0024192A">
              <w:rPr>
                <w:sz w:val="22"/>
                <w:szCs w:val="22"/>
                <w:shd w:val="clear" w:color="auto" w:fill="FFFFFF"/>
              </w:rPr>
              <w:t>500-8703</w:t>
            </w:r>
          </w:p>
        </w:tc>
      </w:tr>
      <w:tr w:rsidR="00A0672C" w:rsidTr="00A0672C">
        <w:trPr>
          <w:trHeight w:val="394"/>
        </w:trPr>
        <w:tc>
          <w:tcPr>
            <w:tcW w:w="3888" w:type="dxa"/>
          </w:tcPr>
          <w:p w:rsidR="00A0672C" w:rsidRDefault="00A0672C" w:rsidP="0061513D">
            <w:pPr>
              <w:pStyle w:val="BodyText2"/>
            </w:pPr>
            <w:r>
              <w:t>North American Power &amp; Gas LLC</w:t>
            </w:r>
          </w:p>
        </w:tc>
        <w:tc>
          <w:tcPr>
            <w:tcW w:w="1710" w:type="dxa"/>
          </w:tcPr>
          <w:p w:rsidR="00A0672C" w:rsidRDefault="00A0672C" w:rsidP="0061513D">
            <w:pPr>
              <w:pStyle w:val="BodyText2"/>
            </w:pPr>
            <w:r>
              <w:t>N/A</w:t>
            </w:r>
          </w:p>
        </w:tc>
        <w:tc>
          <w:tcPr>
            <w:tcW w:w="1543" w:type="dxa"/>
          </w:tcPr>
          <w:p w:rsidR="00A0672C" w:rsidRDefault="00A0672C" w:rsidP="0061513D">
            <w:pPr>
              <w:pStyle w:val="BodyText2"/>
            </w:pPr>
            <w:r>
              <w:t>38.86%</w:t>
            </w:r>
          </w:p>
        </w:tc>
        <w:tc>
          <w:tcPr>
            <w:tcW w:w="1730" w:type="dxa"/>
          </w:tcPr>
          <w:p w:rsidR="00A0672C" w:rsidRDefault="00A0672C" w:rsidP="0061513D">
            <w:pPr>
              <w:pStyle w:val="BodyText2"/>
              <w:rPr>
                <w:sz w:val="22"/>
                <w:szCs w:val="22"/>
                <w:shd w:val="clear" w:color="auto" w:fill="FFFFFF"/>
              </w:rPr>
            </w:pPr>
            <w:r w:rsidRPr="00A0672C">
              <w:rPr>
                <w:sz w:val="22"/>
                <w:szCs w:val="22"/>
                <w:shd w:val="clear" w:color="auto" w:fill="FFFFFF"/>
              </w:rPr>
              <w:t>(888) 313-9086</w:t>
            </w:r>
          </w:p>
        </w:tc>
      </w:tr>
      <w:tr w:rsidR="004E6BA6" w:rsidTr="00A0672C">
        <w:trPr>
          <w:trHeight w:val="394"/>
        </w:trPr>
        <w:tc>
          <w:tcPr>
            <w:tcW w:w="3888" w:type="dxa"/>
          </w:tcPr>
          <w:p w:rsidR="004E6BA6" w:rsidRDefault="004E6BA6" w:rsidP="0061513D">
            <w:pPr>
              <w:pStyle w:val="BodyText2"/>
            </w:pPr>
            <w:proofErr w:type="spellStart"/>
            <w:r>
              <w:t>Palmco</w:t>
            </w:r>
            <w:proofErr w:type="spellEnd"/>
            <w:r>
              <w:t xml:space="preserve"> Power CT, LLC</w:t>
            </w:r>
          </w:p>
        </w:tc>
        <w:tc>
          <w:tcPr>
            <w:tcW w:w="1710" w:type="dxa"/>
          </w:tcPr>
          <w:p w:rsidR="004E6BA6" w:rsidRDefault="004C2573" w:rsidP="0061513D">
            <w:pPr>
              <w:pStyle w:val="BodyText2"/>
            </w:pPr>
            <w:r>
              <w:t>94.38</w:t>
            </w:r>
            <w:r w:rsidR="004E6BA6">
              <w:t>%</w:t>
            </w:r>
          </w:p>
        </w:tc>
        <w:tc>
          <w:tcPr>
            <w:tcW w:w="1543" w:type="dxa"/>
          </w:tcPr>
          <w:p w:rsidR="004E6BA6" w:rsidRDefault="00A0672C" w:rsidP="0061513D">
            <w:pPr>
              <w:pStyle w:val="BodyText2"/>
            </w:pPr>
            <w:r>
              <w:t>95.25</w:t>
            </w:r>
            <w:r w:rsidR="004E6BA6">
              <w:t>%</w:t>
            </w:r>
          </w:p>
        </w:tc>
        <w:tc>
          <w:tcPr>
            <w:tcW w:w="1730" w:type="dxa"/>
          </w:tcPr>
          <w:p w:rsidR="004E6BA6" w:rsidRPr="0024192A" w:rsidRDefault="004E6BA6" w:rsidP="0061513D">
            <w:pPr>
              <w:pStyle w:val="BodyText2"/>
              <w:rPr>
                <w:sz w:val="22"/>
                <w:szCs w:val="22"/>
              </w:rPr>
            </w:pPr>
            <w:r w:rsidRPr="0024192A">
              <w:rPr>
                <w:sz w:val="22"/>
                <w:szCs w:val="22"/>
                <w:shd w:val="clear" w:color="auto" w:fill="FFFFFF"/>
              </w:rPr>
              <w:t>(877) 726-5862</w:t>
            </w:r>
          </w:p>
        </w:tc>
      </w:tr>
      <w:tr w:rsidR="004E6BA6" w:rsidTr="00A0672C">
        <w:trPr>
          <w:trHeight w:val="409"/>
        </w:trPr>
        <w:tc>
          <w:tcPr>
            <w:tcW w:w="3888" w:type="dxa"/>
          </w:tcPr>
          <w:p w:rsidR="004E6BA6" w:rsidRDefault="004E6BA6" w:rsidP="0061513D">
            <w:pPr>
              <w:pStyle w:val="BodyText2"/>
            </w:pPr>
            <w:r>
              <w:t>Public Power, LLC</w:t>
            </w:r>
          </w:p>
        </w:tc>
        <w:tc>
          <w:tcPr>
            <w:tcW w:w="1710" w:type="dxa"/>
          </w:tcPr>
          <w:p w:rsidR="004E6BA6" w:rsidRDefault="004C2573" w:rsidP="0061513D">
            <w:pPr>
              <w:pStyle w:val="BodyText2"/>
            </w:pPr>
            <w:r>
              <w:t>N/A</w:t>
            </w:r>
          </w:p>
        </w:tc>
        <w:tc>
          <w:tcPr>
            <w:tcW w:w="1543" w:type="dxa"/>
          </w:tcPr>
          <w:p w:rsidR="004E6BA6" w:rsidRDefault="00A0672C" w:rsidP="0061513D">
            <w:pPr>
              <w:pStyle w:val="BodyText2"/>
            </w:pPr>
            <w:r>
              <w:t>29.30</w:t>
            </w:r>
            <w:r w:rsidR="004E6BA6">
              <w:t>%</w:t>
            </w:r>
          </w:p>
        </w:tc>
        <w:tc>
          <w:tcPr>
            <w:tcW w:w="1730" w:type="dxa"/>
          </w:tcPr>
          <w:p w:rsidR="004E6BA6" w:rsidRPr="0024192A" w:rsidRDefault="004E6BA6" w:rsidP="0061513D">
            <w:pPr>
              <w:pStyle w:val="BodyText2"/>
              <w:rPr>
                <w:sz w:val="22"/>
                <w:szCs w:val="22"/>
              </w:rPr>
            </w:pPr>
            <w:r w:rsidRPr="0024192A">
              <w:rPr>
                <w:sz w:val="22"/>
                <w:szCs w:val="22"/>
                <w:shd w:val="clear" w:color="auto" w:fill="F2F2F2"/>
              </w:rPr>
              <w:t>(844) 585-8900</w:t>
            </w:r>
          </w:p>
        </w:tc>
      </w:tr>
      <w:tr w:rsidR="004E6BA6" w:rsidTr="00A0672C">
        <w:trPr>
          <w:trHeight w:val="394"/>
        </w:trPr>
        <w:tc>
          <w:tcPr>
            <w:tcW w:w="3888" w:type="dxa"/>
          </w:tcPr>
          <w:p w:rsidR="004E6BA6" w:rsidRDefault="004E6BA6" w:rsidP="0061513D">
            <w:pPr>
              <w:pStyle w:val="BodyText2"/>
            </w:pPr>
            <w:r>
              <w:t>Spark Energy LP</w:t>
            </w:r>
          </w:p>
        </w:tc>
        <w:tc>
          <w:tcPr>
            <w:tcW w:w="1710" w:type="dxa"/>
          </w:tcPr>
          <w:p w:rsidR="004E6BA6" w:rsidRDefault="004C2573" w:rsidP="0061513D">
            <w:pPr>
              <w:pStyle w:val="BodyText2"/>
            </w:pPr>
            <w:r>
              <w:t>44.90</w:t>
            </w:r>
            <w:r w:rsidR="004E6BA6">
              <w:t>%</w:t>
            </w:r>
          </w:p>
        </w:tc>
        <w:tc>
          <w:tcPr>
            <w:tcW w:w="1543" w:type="dxa"/>
          </w:tcPr>
          <w:p w:rsidR="004E6BA6" w:rsidRDefault="00A0672C" w:rsidP="0061513D">
            <w:pPr>
              <w:pStyle w:val="BodyText2"/>
            </w:pPr>
            <w:r>
              <w:t>44.10</w:t>
            </w:r>
            <w:r w:rsidR="004E6BA6">
              <w:t>%</w:t>
            </w:r>
          </w:p>
        </w:tc>
        <w:tc>
          <w:tcPr>
            <w:tcW w:w="1730" w:type="dxa"/>
          </w:tcPr>
          <w:p w:rsidR="004E6BA6" w:rsidRPr="0024192A" w:rsidRDefault="004E6BA6" w:rsidP="0061513D">
            <w:pPr>
              <w:pStyle w:val="BodyText2"/>
              <w:rPr>
                <w:sz w:val="22"/>
                <w:szCs w:val="22"/>
              </w:rPr>
            </w:pPr>
            <w:r w:rsidRPr="0024192A">
              <w:rPr>
                <w:sz w:val="22"/>
                <w:szCs w:val="22"/>
                <w:shd w:val="clear" w:color="auto" w:fill="F2F2F2"/>
              </w:rPr>
              <w:t>(877) 374-8013</w:t>
            </w:r>
          </w:p>
        </w:tc>
      </w:tr>
      <w:tr w:rsidR="004E6BA6" w:rsidTr="00A0672C">
        <w:trPr>
          <w:trHeight w:val="394"/>
        </w:trPr>
        <w:tc>
          <w:tcPr>
            <w:tcW w:w="3888" w:type="dxa"/>
          </w:tcPr>
          <w:p w:rsidR="004E6BA6" w:rsidRDefault="004E6BA6" w:rsidP="0061513D">
            <w:pPr>
              <w:pStyle w:val="BodyText2"/>
            </w:pPr>
            <w:proofErr w:type="spellStart"/>
            <w:r>
              <w:t>Starion</w:t>
            </w:r>
            <w:proofErr w:type="spellEnd"/>
            <w:r>
              <w:t xml:space="preserve"> Energy, Inc.</w:t>
            </w:r>
          </w:p>
        </w:tc>
        <w:tc>
          <w:tcPr>
            <w:tcW w:w="1710" w:type="dxa"/>
          </w:tcPr>
          <w:p w:rsidR="004E6BA6" w:rsidRDefault="004C2573" w:rsidP="0061513D">
            <w:pPr>
              <w:pStyle w:val="BodyText2"/>
            </w:pPr>
            <w:r>
              <w:t>32.86</w:t>
            </w:r>
            <w:r w:rsidR="004E6BA6">
              <w:t>%</w:t>
            </w:r>
          </w:p>
        </w:tc>
        <w:tc>
          <w:tcPr>
            <w:tcW w:w="1543" w:type="dxa"/>
          </w:tcPr>
          <w:p w:rsidR="004E6BA6" w:rsidRDefault="00A0672C" w:rsidP="0061513D">
            <w:pPr>
              <w:pStyle w:val="BodyText2"/>
            </w:pPr>
            <w:r>
              <w:t>28.21</w:t>
            </w:r>
            <w:r w:rsidR="004E6BA6">
              <w:t>%</w:t>
            </w:r>
          </w:p>
        </w:tc>
        <w:tc>
          <w:tcPr>
            <w:tcW w:w="1730" w:type="dxa"/>
          </w:tcPr>
          <w:p w:rsidR="004E6BA6" w:rsidRPr="0024192A" w:rsidRDefault="004E6BA6" w:rsidP="0061513D">
            <w:pPr>
              <w:pStyle w:val="BodyText2"/>
              <w:rPr>
                <w:sz w:val="22"/>
                <w:szCs w:val="22"/>
              </w:rPr>
            </w:pPr>
            <w:r w:rsidRPr="0024192A">
              <w:rPr>
                <w:sz w:val="22"/>
                <w:szCs w:val="22"/>
                <w:shd w:val="clear" w:color="auto" w:fill="F2F2F2"/>
              </w:rPr>
              <w:t>(800) 600-3040</w:t>
            </w:r>
          </w:p>
        </w:tc>
      </w:tr>
      <w:tr w:rsidR="004E6BA6" w:rsidTr="00A0672C">
        <w:trPr>
          <w:trHeight w:val="394"/>
        </w:trPr>
        <w:tc>
          <w:tcPr>
            <w:tcW w:w="3888" w:type="dxa"/>
          </w:tcPr>
          <w:p w:rsidR="004E6BA6" w:rsidRDefault="004E6BA6" w:rsidP="0061513D">
            <w:pPr>
              <w:pStyle w:val="BodyText2"/>
            </w:pPr>
            <w:r>
              <w:t>Verde Energy USA, Inc</w:t>
            </w:r>
          </w:p>
        </w:tc>
        <w:tc>
          <w:tcPr>
            <w:tcW w:w="1710" w:type="dxa"/>
          </w:tcPr>
          <w:p w:rsidR="004E6BA6" w:rsidRDefault="004C2573" w:rsidP="0061513D">
            <w:pPr>
              <w:pStyle w:val="BodyText2"/>
            </w:pPr>
            <w:r>
              <w:t>28.35</w:t>
            </w:r>
            <w:r w:rsidR="004E6BA6">
              <w:t>%</w:t>
            </w:r>
          </w:p>
        </w:tc>
        <w:tc>
          <w:tcPr>
            <w:tcW w:w="1543" w:type="dxa"/>
          </w:tcPr>
          <w:p w:rsidR="004E6BA6" w:rsidRDefault="00A0672C" w:rsidP="0061513D">
            <w:pPr>
              <w:pStyle w:val="BodyText2"/>
            </w:pPr>
            <w:r>
              <w:t>26.64</w:t>
            </w:r>
            <w:r w:rsidR="004E6BA6">
              <w:t>%</w:t>
            </w:r>
          </w:p>
        </w:tc>
        <w:tc>
          <w:tcPr>
            <w:tcW w:w="1730" w:type="dxa"/>
          </w:tcPr>
          <w:p w:rsidR="004E6BA6" w:rsidRPr="0024192A" w:rsidRDefault="004E6BA6" w:rsidP="0061513D">
            <w:pPr>
              <w:pStyle w:val="BodyText2"/>
              <w:rPr>
                <w:sz w:val="22"/>
                <w:szCs w:val="22"/>
              </w:rPr>
            </w:pPr>
            <w:r>
              <w:rPr>
                <w:sz w:val="22"/>
                <w:szCs w:val="22"/>
                <w:shd w:val="clear" w:color="auto" w:fill="F2F2F2"/>
              </w:rPr>
              <w:t>(</w:t>
            </w:r>
            <w:r w:rsidRPr="0024192A">
              <w:rPr>
                <w:sz w:val="22"/>
                <w:szCs w:val="22"/>
                <w:shd w:val="clear" w:color="auto" w:fill="F2F2F2"/>
              </w:rPr>
              <w:t>800</w:t>
            </w:r>
            <w:r>
              <w:rPr>
                <w:sz w:val="22"/>
                <w:szCs w:val="22"/>
                <w:shd w:val="clear" w:color="auto" w:fill="F2F2F2"/>
              </w:rPr>
              <w:t xml:space="preserve">) </w:t>
            </w:r>
            <w:r w:rsidRPr="0024192A">
              <w:rPr>
                <w:sz w:val="22"/>
                <w:szCs w:val="22"/>
                <w:shd w:val="clear" w:color="auto" w:fill="F2F2F2"/>
              </w:rPr>
              <w:t>388-3862</w:t>
            </w:r>
          </w:p>
        </w:tc>
      </w:tr>
      <w:tr w:rsidR="0061513D" w:rsidTr="00A0672C">
        <w:tblPrEx>
          <w:tblLook w:val="0000" w:firstRow="0" w:lastRow="0" w:firstColumn="0" w:lastColumn="0" w:noHBand="0" w:noVBand="0"/>
        </w:tblPrEx>
        <w:trPr>
          <w:trHeight w:val="225"/>
        </w:trPr>
        <w:tc>
          <w:tcPr>
            <w:tcW w:w="3888" w:type="dxa"/>
          </w:tcPr>
          <w:p w:rsidR="0061513D" w:rsidRDefault="0061513D" w:rsidP="0061513D">
            <w:pPr>
              <w:pStyle w:val="BodyText2"/>
            </w:pPr>
            <w:r>
              <w:t>Reliant Energy</w:t>
            </w:r>
          </w:p>
        </w:tc>
        <w:tc>
          <w:tcPr>
            <w:tcW w:w="1710" w:type="dxa"/>
          </w:tcPr>
          <w:p w:rsidR="0061513D" w:rsidRDefault="0061513D" w:rsidP="0061513D">
            <w:pPr>
              <w:pStyle w:val="BodyText2"/>
              <w:ind w:left="108"/>
            </w:pPr>
            <w:r>
              <w:t>N/A</w:t>
            </w:r>
          </w:p>
        </w:tc>
        <w:tc>
          <w:tcPr>
            <w:tcW w:w="1543" w:type="dxa"/>
          </w:tcPr>
          <w:p w:rsidR="0061513D" w:rsidRDefault="00A0672C" w:rsidP="00A46677">
            <w:pPr>
              <w:pStyle w:val="BodyText2"/>
            </w:pPr>
            <w:r>
              <w:t>87.91</w:t>
            </w:r>
            <w:r w:rsidR="0061513D">
              <w:t>%</w:t>
            </w:r>
          </w:p>
        </w:tc>
        <w:tc>
          <w:tcPr>
            <w:tcW w:w="1730" w:type="dxa"/>
            <w:shd w:val="clear" w:color="auto" w:fill="auto"/>
          </w:tcPr>
          <w:p w:rsidR="0061513D" w:rsidRDefault="0061513D" w:rsidP="0061513D">
            <w:pPr>
              <w:pStyle w:val="BodyText2"/>
            </w:pPr>
            <w:r w:rsidRPr="0061513D">
              <w:rPr>
                <w:sz w:val="22"/>
              </w:rPr>
              <w:t>(713) 497-3000</w:t>
            </w:r>
          </w:p>
        </w:tc>
      </w:tr>
    </w:tbl>
    <w:p w:rsidR="003E665C" w:rsidRDefault="003E665C" w:rsidP="0000043E">
      <w:pPr>
        <w:pStyle w:val="BodyText2"/>
        <w:spacing w:line="240" w:lineRule="auto"/>
      </w:pPr>
    </w:p>
    <w:p w:rsidR="00B73D42" w:rsidRPr="00E45CF4" w:rsidRDefault="00B73D42" w:rsidP="00286A09">
      <w:pPr>
        <w:pStyle w:val="BodyText2"/>
        <w:spacing w:after="0" w:line="240" w:lineRule="auto"/>
      </w:pPr>
    </w:p>
    <w:p w:rsidR="00286A09" w:rsidRPr="00E45CF4" w:rsidRDefault="00B73D42" w:rsidP="00380DE2">
      <w:pPr>
        <w:pStyle w:val="BodyText2"/>
        <w:spacing w:line="240" w:lineRule="auto"/>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3" w:history="1">
        <w:r w:rsidR="003E665C" w:rsidRPr="001114A7">
          <w:rPr>
            <w:rStyle w:val="Hyperlink"/>
          </w:rPr>
          <w:t>occ.info@ct.gov</w:t>
        </w:r>
      </w:hyperlink>
      <w:r w:rsidR="00582A55">
        <w:t xml:space="preserve"> </w:t>
      </w:r>
      <w:r w:rsidR="007A7A82" w:rsidRPr="00E45CF4">
        <w:t>if you have any questions about this information.</w:t>
      </w:r>
      <w:r w:rsidR="00AD7A01">
        <w:t xml:space="preserve">  </w:t>
      </w:r>
    </w:p>
    <w:sectPr w:rsidR="00286A09" w:rsidRPr="00E45CF4" w:rsidSect="0084624F">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B4" w:rsidRDefault="003864B4" w:rsidP="0010750F">
      <w:pPr>
        <w:spacing w:line="240" w:lineRule="auto"/>
      </w:pPr>
      <w:r>
        <w:separator/>
      </w:r>
    </w:p>
  </w:endnote>
  <w:endnote w:type="continuationSeparator" w:id="0">
    <w:p w:rsidR="003864B4" w:rsidRDefault="003864B4"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B4" w:rsidRDefault="003864B4" w:rsidP="0010750F">
      <w:pPr>
        <w:spacing w:line="240" w:lineRule="auto"/>
      </w:pPr>
      <w:r>
        <w:separator/>
      </w:r>
    </w:p>
  </w:footnote>
  <w:footnote w:type="continuationSeparator" w:id="0">
    <w:p w:rsidR="003864B4" w:rsidRDefault="003864B4" w:rsidP="0010750F">
      <w:pPr>
        <w:spacing w:line="240" w:lineRule="auto"/>
      </w:pPr>
      <w:r>
        <w:continuationSeparator/>
      </w:r>
    </w:p>
  </w:footnote>
  <w:footnote w:id="1">
    <w:p w:rsidR="003864B4" w:rsidRDefault="003864B4">
      <w:pPr>
        <w:pStyle w:val="FootnoteText"/>
      </w:pPr>
      <w:r>
        <w:rPr>
          <w:rStyle w:val="FootnoteReference"/>
        </w:rPr>
        <w:footnoteRef/>
      </w:r>
      <w:r>
        <w:rPr>
          <w:rStyle w:val="FootnoteReference"/>
        </w:rPr>
        <w:t xml:space="preserve"> </w:t>
      </w:r>
      <w:r w:rsidRPr="00F31FC1">
        <w:t xml:space="preserve">These calculations </w:t>
      </w:r>
      <w:r>
        <w:t>are based on an assumption of 750/month kWh usa</w:t>
      </w:r>
      <w:bookmarkStart w:id="0" w:name="_GoBack"/>
      <w:bookmarkEnd w:id="0"/>
      <w:r>
        <w:t>ge, and likely</w:t>
      </w:r>
      <w:r w:rsidRPr="00F31FC1">
        <w:t xml:space="preserve"> underestimate</w:t>
      </w:r>
      <w:r>
        <w:t xml:space="preserve"> the consumer harm</w:t>
      </w:r>
      <w:r w:rsidRPr="00F31FC1">
        <w:t>, because they assume all non-electric heat customers.  Were the additional usage by heating customers factored into this calculation, the estimated consumer harm would</w:t>
      </w:r>
      <w:r>
        <w:t xml:space="preserve"> likely</w:t>
      </w:r>
      <w:r w:rsidRPr="00F31FC1">
        <w:t xml:space="preserve"> be even greater.</w:t>
      </w:r>
      <w:r>
        <w:t xml:space="preserve">  </w:t>
      </w:r>
    </w:p>
  </w:footnote>
  <w:footnote w:id="2">
    <w:p w:rsidR="003864B4" w:rsidRDefault="003864B4" w:rsidP="00300222">
      <w:pPr>
        <w:pStyle w:val="FootnoteText"/>
      </w:pPr>
      <w:r>
        <w:rPr>
          <w:rStyle w:val="FootnoteReference"/>
        </w:rPr>
        <w:footnoteRef/>
      </w:r>
      <w:r>
        <w:t xml:space="preserve"> From January 1 through June 30, 2016, standard service for </w:t>
      </w:r>
      <w:proofErr w:type="spellStart"/>
      <w:r>
        <w:t>Eversource</w:t>
      </w:r>
      <w:proofErr w:type="spellEnd"/>
      <w:r>
        <w:t xml:space="preserve"> </w:t>
      </w:r>
      <w:r w:rsidR="001C45F3">
        <w:t xml:space="preserve">is </w:t>
      </w:r>
      <w:r>
        <w:t xml:space="preserve">9.55 cents/kWh, and standard service for UI </w:t>
      </w:r>
      <w:proofErr w:type="gramStart"/>
      <w:r w:rsidR="001C45F3">
        <w:t xml:space="preserve">is </w:t>
      </w:r>
      <w:r>
        <w:t xml:space="preserve"> 10.74</w:t>
      </w:r>
      <w:proofErr w:type="gramEnd"/>
      <w:r>
        <w:t xml:space="preserve"> cents/kWh.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1"/>
    <w:rsid w:val="0000043E"/>
    <w:rsid w:val="00016099"/>
    <w:rsid w:val="000218D5"/>
    <w:rsid w:val="00025130"/>
    <w:rsid w:val="000301D8"/>
    <w:rsid w:val="000437C4"/>
    <w:rsid w:val="0009501F"/>
    <w:rsid w:val="000C0CA9"/>
    <w:rsid w:val="001071BD"/>
    <w:rsid w:val="0010750F"/>
    <w:rsid w:val="001114A7"/>
    <w:rsid w:val="00115249"/>
    <w:rsid w:val="001426E7"/>
    <w:rsid w:val="00150EE6"/>
    <w:rsid w:val="0015556D"/>
    <w:rsid w:val="00170140"/>
    <w:rsid w:val="00176428"/>
    <w:rsid w:val="00184AC1"/>
    <w:rsid w:val="001C45F3"/>
    <w:rsid w:val="001D3093"/>
    <w:rsid w:val="001D4029"/>
    <w:rsid w:val="001D4281"/>
    <w:rsid w:val="001E7966"/>
    <w:rsid w:val="00212B64"/>
    <w:rsid w:val="0024192A"/>
    <w:rsid w:val="00286A09"/>
    <w:rsid w:val="002967A9"/>
    <w:rsid w:val="00300222"/>
    <w:rsid w:val="00324D56"/>
    <w:rsid w:val="00380DE2"/>
    <w:rsid w:val="00381FF0"/>
    <w:rsid w:val="003864B4"/>
    <w:rsid w:val="00386D1A"/>
    <w:rsid w:val="003E665C"/>
    <w:rsid w:val="003F4FBC"/>
    <w:rsid w:val="00400969"/>
    <w:rsid w:val="004468B2"/>
    <w:rsid w:val="00486085"/>
    <w:rsid w:val="004B76B9"/>
    <w:rsid w:val="004C2573"/>
    <w:rsid w:val="004E6BA6"/>
    <w:rsid w:val="004E75C5"/>
    <w:rsid w:val="005014ED"/>
    <w:rsid w:val="00511A54"/>
    <w:rsid w:val="00582A55"/>
    <w:rsid w:val="005A0F74"/>
    <w:rsid w:val="005C351F"/>
    <w:rsid w:val="005C4B48"/>
    <w:rsid w:val="0061513D"/>
    <w:rsid w:val="00642CFF"/>
    <w:rsid w:val="00684A48"/>
    <w:rsid w:val="00696242"/>
    <w:rsid w:val="00743ED8"/>
    <w:rsid w:val="007649EA"/>
    <w:rsid w:val="00794190"/>
    <w:rsid w:val="007942D4"/>
    <w:rsid w:val="007A2A0C"/>
    <w:rsid w:val="007A7A82"/>
    <w:rsid w:val="007A7CCB"/>
    <w:rsid w:val="007E6ECF"/>
    <w:rsid w:val="00807F10"/>
    <w:rsid w:val="00815325"/>
    <w:rsid w:val="0084624F"/>
    <w:rsid w:val="008A01B1"/>
    <w:rsid w:val="008B063B"/>
    <w:rsid w:val="008B1E11"/>
    <w:rsid w:val="008C2FF1"/>
    <w:rsid w:val="008D4FD2"/>
    <w:rsid w:val="0091035F"/>
    <w:rsid w:val="00917FA3"/>
    <w:rsid w:val="00944B7B"/>
    <w:rsid w:val="00962C2B"/>
    <w:rsid w:val="009642E5"/>
    <w:rsid w:val="00974BD9"/>
    <w:rsid w:val="009D331F"/>
    <w:rsid w:val="009F1438"/>
    <w:rsid w:val="00A0672C"/>
    <w:rsid w:val="00A17D7C"/>
    <w:rsid w:val="00A21B14"/>
    <w:rsid w:val="00A443D3"/>
    <w:rsid w:val="00A46677"/>
    <w:rsid w:val="00A723B5"/>
    <w:rsid w:val="00AB2EED"/>
    <w:rsid w:val="00AD2FB2"/>
    <w:rsid w:val="00AD7A01"/>
    <w:rsid w:val="00B06E50"/>
    <w:rsid w:val="00B30D91"/>
    <w:rsid w:val="00B365B9"/>
    <w:rsid w:val="00B45DA9"/>
    <w:rsid w:val="00B55D91"/>
    <w:rsid w:val="00B60370"/>
    <w:rsid w:val="00B63051"/>
    <w:rsid w:val="00B73D42"/>
    <w:rsid w:val="00B8330D"/>
    <w:rsid w:val="00BB463E"/>
    <w:rsid w:val="00BC60AC"/>
    <w:rsid w:val="00BF5462"/>
    <w:rsid w:val="00BF64D1"/>
    <w:rsid w:val="00C1789A"/>
    <w:rsid w:val="00C43E0B"/>
    <w:rsid w:val="00C7362A"/>
    <w:rsid w:val="00C9207D"/>
    <w:rsid w:val="00CA6FAE"/>
    <w:rsid w:val="00CB0C81"/>
    <w:rsid w:val="00CB1ECD"/>
    <w:rsid w:val="00CB7417"/>
    <w:rsid w:val="00CC1CAB"/>
    <w:rsid w:val="00CD0EEB"/>
    <w:rsid w:val="00D0374F"/>
    <w:rsid w:val="00D82E95"/>
    <w:rsid w:val="00DA14E6"/>
    <w:rsid w:val="00E24407"/>
    <w:rsid w:val="00E45CF4"/>
    <w:rsid w:val="00E51DE6"/>
    <w:rsid w:val="00E572DB"/>
    <w:rsid w:val="00E662DF"/>
    <w:rsid w:val="00E77454"/>
    <w:rsid w:val="00EB20D9"/>
    <w:rsid w:val="00EC7DF7"/>
    <w:rsid w:val="00EE27DD"/>
    <w:rsid w:val="00F31FC1"/>
    <w:rsid w:val="00F51E50"/>
    <w:rsid w:val="00F57EE7"/>
    <w:rsid w:val="00F63122"/>
    <w:rsid w:val="00F659A1"/>
    <w:rsid w:val="00F74236"/>
    <w:rsid w:val="00F74AAB"/>
    <w:rsid w:val="00F93175"/>
    <w:rsid w:val="00FC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c.info@c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t.gov/occ/lib/occ/occ_files_testimony_regarding_electric_suppliers_in_pura_docket_no__13-07-18.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5927F-EF50-4989-A22D-D6FAA560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Victoria Hackett</cp:lastModifiedBy>
  <cp:revision>2</cp:revision>
  <cp:lastPrinted>2015-10-16T16:41:00Z</cp:lastPrinted>
  <dcterms:created xsi:type="dcterms:W3CDTF">2016-03-02T22:40:00Z</dcterms:created>
  <dcterms:modified xsi:type="dcterms:W3CDTF">2016-03-02T22:40:00Z</dcterms:modified>
</cp:coreProperties>
</file>