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45" w:rsidRDefault="00DB51E6" w:rsidP="00AE0945">
      <w:pPr>
        <w:jc w:val="center"/>
        <w:rPr>
          <w:rFonts w:cstheme="minorHAnsi"/>
          <w:b/>
          <w:sz w:val="28"/>
          <w:szCs w:val="24"/>
        </w:rPr>
      </w:pPr>
      <w:r>
        <w:rPr>
          <w:noProof/>
        </w:rPr>
        <w:drawing>
          <wp:inline distT="0" distB="0" distL="0" distR="0" wp14:anchorId="47E41874" wp14:editId="148AFF26">
            <wp:extent cx="827646" cy="774700"/>
            <wp:effectExtent l="0" t="0" r="0" b="6350"/>
            <wp:docPr id="1" name="Picture 1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794" cy="78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945" w:rsidRDefault="00AE0945" w:rsidP="00AE0945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:rsidR="00AE0945" w:rsidRDefault="009553F1" w:rsidP="00AE0945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OCC </w:t>
      </w:r>
      <w:r w:rsidR="005D4B99">
        <w:rPr>
          <w:rFonts w:cstheme="minorHAnsi"/>
          <w:b/>
          <w:sz w:val="28"/>
          <w:szCs w:val="24"/>
        </w:rPr>
        <w:t>Begins Work on</w:t>
      </w:r>
      <w:r w:rsidR="00D018E6">
        <w:rPr>
          <w:rFonts w:cstheme="minorHAnsi"/>
          <w:b/>
          <w:sz w:val="28"/>
          <w:szCs w:val="24"/>
        </w:rPr>
        <w:t xml:space="preserve"> National Grid-Interactive Buildings Working Group</w:t>
      </w:r>
    </w:p>
    <w:p w:rsidR="00AE0945" w:rsidRDefault="00AE0945" w:rsidP="00AE0945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:rsidR="005D4B99" w:rsidRDefault="002C79F9" w:rsidP="005D4B99">
      <w:pPr>
        <w:pStyle w:val="BodyText"/>
        <w:spacing w:before="51" w:line="276" w:lineRule="auto"/>
        <w:ind w:left="0" w:right="150"/>
        <w:rPr>
          <w:spacing w:val="-1"/>
        </w:rPr>
      </w:pP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Office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Consumer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Counsel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(“OCC”)</w:t>
      </w:r>
      <w:r w:rsidR="00181334">
        <w:rPr>
          <w:rFonts w:cs="Calibri"/>
        </w:rPr>
        <w:t xml:space="preserve"> </w:t>
      </w:r>
      <w:r w:rsidR="005D4B99">
        <w:rPr>
          <w:rFonts w:cs="Calibri"/>
        </w:rPr>
        <w:t xml:space="preserve">has begun its work with </w:t>
      </w:r>
      <w:r w:rsidR="00D018E6">
        <w:rPr>
          <w:spacing w:val="-1"/>
        </w:rPr>
        <w:t>the National Association of State Energy Officials (“NASEO</w:t>
      </w:r>
      <w:r w:rsidR="00F74EF4">
        <w:rPr>
          <w:spacing w:val="-1"/>
        </w:rPr>
        <w:t xml:space="preserve">”) and National Association of Regulatory Utility Commissioners (“NARUC”) Grid-Interactive Efficient </w:t>
      </w:r>
      <w:r w:rsidR="005D4B99">
        <w:rPr>
          <w:spacing w:val="-1"/>
        </w:rPr>
        <w:t>Bu</w:t>
      </w:r>
      <w:r w:rsidR="00AE0945">
        <w:rPr>
          <w:spacing w:val="-1"/>
        </w:rPr>
        <w:t xml:space="preserve">ildings (“GEB”) Working Group. </w:t>
      </w:r>
      <w:r w:rsidR="005D4B99">
        <w:rPr>
          <w:spacing w:val="-1"/>
        </w:rPr>
        <w:t xml:space="preserve">The group is comprised of fourteen states with goals set in the grid modernization space, and an eye on emerging technologies and applications in energy and buildings, specifically.  </w:t>
      </w:r>
    </w:p>
    <w:p w:rsidR="005D4B99" w:rsidRDefault="005D4B99" w:rsidP="00AE0945">
      <w:pPr>
        <w:pStyle w:val="BodyText"/>
        <w:spacing w:before="0"/>
        <w:ind w:left="0" w:right="144"/>
        <w:rPr>
          <w:spacing w:val="-1"/>
        </w:rPr>
      </w:pPr>
    </w:p>
    <w:p w:rsidR="005D4B99" w:rsidRDefault="005D4B99" w:rsidP="005D4B99">
      <w:pPr>
        <w:pStyle w:val="BodyText"/>
        <w:spacing w:before="51" w:line="276" w:lineRule="auto"/>
        <w:ind w:left="0" w:right="150"/>
        <w:rPr>
          <w:spacing w:val="-1"/>
        </w:rPr>
      </w:pPr>
      <w:r>
        <w:rPr>
          <w:spacing w:val="-1"/>
        </w:rPr>
        <w:t xml:space="preserve">With Governor Lamont recently signing his first Executive Order that reinvigorates an existing energy efficiency program, Lead </w:t>
      </w:r>
      <w:proofErr w:type="gramStart"/>
      <w:r>
        <w:rPr>
          <w:spacing w:val="-1"/>
        </w:rPr>
        <w:t>By</w:t>
      </w:r>
      <w:proofErr w:type="gramEnd"/>
      <w:r>
        <w:rPr>
          <w:spacing w:val="-1"/>
        </w:rPr>
        <w:t xml:space="preserve"> Example, with a goal and focus on reducing the overall carbon footprint of buildings and vehicles in Connecticut, this work is fitting. Generally, energy policy is moving Connecticut forward with its ef</w:t>
      </w:r>
      <w:r w:rsidR="00264889">
        <w:rPr>
          <w:spacing w:val="-1"/>
        </w:rPr>
        <w:t>forts and commitments around en</w:t>
      </w:r>
      <w:r w:rsidR="00AE0945">
        <w:rPr>
          <w:spacing w:val="-1"/>
        </w:rPr>
        <w:t xml:space="preserve">ergy and climate improvements. </w:t>
      </w:r>
      <w:r w:rsidR="00264889">
        <w:rPr>
          <w:spacing w:val="-1"/>
        </w:rPr>
        <w:t>Some specific areas the working group will focus on include time-of-use rates, current and upcoming Demand Response (DR) programs within states, and barriers to implementing energy technologies and renewable energy offerings.</w:t>
      </w:r>
    </w:p>
    <w:p w:rsidR="00264889" w:rsidRDefault="00264889" w:rsidP="00AE0945">
      <w:pPr>
        <w:pStyle w:val="BodyText"/>
        <w:spacing w:before="0"/>
        <w:ind w:left="0" w:right="144"/>
        <w:rPr>
          <w:spacing w:val="-1"/>
        </w:rPr>
      </w:pPr>
    </w:p>
    <w:p w:rsidR="00264889" w:rsidRDefault="00264889" w:rsidP="00264889">
      <w:pPr>
        <w:pStyle w:val="BodyText"/>
        <w:spacing w:before="51" w:line="276" w:lineRule="auto"/>
        <w:ind w:left="0" w:right="150"/>
        <w:rPr>
          <w:spacing w:val="-1"/>
        </w:rPr>
      </w:pPr>
      <w:r>
        <w:rPr>
          <w:spacing w:val="-1"/>
        </w:rPr>
        <w:t>Ratepayer impact is, of course,</w:t>
      </w:r>
      <w:r w:rsidR="00AE0945">
        <w:rPr>
          <w:spacing w:val="-1"/>
        </w:rPr>
        <w:t xml:space="preserve"> always a top priority to OCC. </w:t>
      </w:r>
      <w:r>
        <w:rPr>
          <w:spacing w:val="-1"/>
        </w:rPr>
        <w:t>This is one key element to consider when examining any step forward in modernizing the electric grid or adopting</w:t>
      </w:r>
      <w:r w:rsidR="00AE0945">
        <w:rPr>
          <w:spacing w:val="-1"/>
        </w:rPr>
        <w:t xml:space="preserve"> new benchmarks for buildings. </w:t>
      </w:r>
      <w:r>
        <w:rPr>
          <w:spacing w:val="-1"/>
        </w:rPr>
        <w:t xml:space="preserve">Integrating EE and </w:t>
      </w:r>
      <w:proofErr w:type="spellStart"/>
      <w:r>
        <w:rPr>
          <w:spacing w:val="-1"/>
        </w:rPr>
        <w:t>DR</w:t>
      </w:r>
      <w:proofErr w:type="spellEnd"/>
      <w:r>
        <w:rPr>
          <w:spacing w:val="-1"/>
        </w:rPr>
        <w:t xml:space="preserve"> creates a “stacked” value that benefits both</w:t>
      </w:r>
      <w:r w:rsidR="00AE0945">
        <w:rPr>
          <w:spacing w:val="-1"/>
        </w:rPr>
        <w:t xml:space="preserve"> the customer and the utility. </w:t>
      </w:r>
      <w:r>
        <w:rPr>
          <w:spacing w:val="-1"/>
        </w:rPr>
        <w:t>This may be a clear win-win, but certain elements like customer education and equity in funding are examples of areas that cannot be overlooked or undervalued</w:t>
      </w:r>
      <w:r w:rsidR="00AE0945">
        <w:rPr>
          <w:spacing w:val="-1"/>
        </w:rPr>
        <w:t xml:space="preserve"> in considering steps forward. </w:t>
      </w:r>
      <w:r>
        <w:rPr>
          <w:spacing w:val="-1"/>
        </w:rPr>
        <w:t>Ultimately, customers need to feel comfortable with the idea to invest in a smart thermostat or</w:t>
      </w:r>
      <w:r w:rsidR="00AE0945">
        <w:rPr>
          <w:spacing w:val="-1"/>
        </w:rPr>
        <w:t xml:space="preserve"> opt in to a time-of-use rate. </w:t>
      </w:r>
      <w:r>
        <w:rPr>
          <w:spacing w:val="-1"/>
        </w:rPr>
        <w:t>And there’s always the popular discussion around cost, incentives, and what specific impacts ratepayers will experience.</w:t>
      </w:r>
    </w:p>
    <w:p w:rsidR="00264889" w:rsidRDefault="00264889" w:rsidP="00AE0945">
      <w:pPr>
        <w:pStyle w:val="BodyText"/>
        <w:spacing w:before="0"/>
        <w:ind w:left="0" w:right="144"/>
        <w:rPr>
          <w:spacing w:val="-1"/>
        </w:rPr>
      </w:pPr>
    </w:p>
    <w:p w:rsidR="00190FB0" w:rsidRDefault="00264889" w:rsidP="00AE0945">
      <w:pPr>
        <w:pStyle w:val="BodyText"/>
        <w:spacing w:before="51" w:line="276" w:lineRule="auto"/>
        <w:ind w:left="0" w:right="150"/>
        <w:rPr>
          <w:spacing w:val="-1"/>
        </w:rPr>
      </w:pPr>
      <w:r>
        <w:rPr>
          <w:spacing w:val="-1"/>
        </w:rPr>
        <w:t>The working group plans to have a series of webinars in the coming months, followed by in-depth d</w:t>
      </w:r>
      <w:r w:rsidR="00AE0945">
        <w:rPr>
          <w:spacing w:val="-1"/>
        </w:rPr>
        <w:t xml:space="preserve">iscussions on specific topics. </w:t>
      </w:r>
      <w:r>
        <w:rPr>
          <w:spacing w:val="-1"/>
        </w:rPr>
        <w:t>It will ultimately be a tool for participating states to use while considering next steps in policy and prog</w:t>
      </w:r>
      <w:r w:rsidR="00AE0945">
        <w:rPr>
          <w:spacing w:val="-1"/>
        </w:rPr>
        <w:t xml:space="preserve">ram design, among other areas. </w:t>
      </w:r>
      <w:r>
        <w:rPr>
          <w:spacing w:val="-1"/>
        </w:rPr>
        <w:t>This collaborative effort is proving already to be beneficial</w:t>
      </w:r>
      <w:r w:rsidR="006B6911">
        <w:rPr>
          <w:spacing w:val="-1"/>
        </w:rPr>
        <w:t>, and OCC is pleased to be participating.</w:t>
      </w:r>
    </w:p>
    <w:p w:rsidR="00AE0945" w:rsidRPr="00AE0945" w:rsidRDefault="00AE0945" w:rsidP="00AE0945">
      <w:pPr>
        <w:pStyle w:val="BodyText"/>
        <w:spacing w:before="51" w:line="276" w:lineRule="auto"/>
        <w:ind w:left="0" w:right="150"/>
        <w:rPr>
          <w:spacing w:val="-1"/>
        </w:rPr>
      </w:pPr>
    </w:p>
    <w:p w:rsidR="00AE0945" w:rsidRDefault="004E232D" w:rsidP="00AE0945">
      <w:pPr>
        <w:spacing w:after="0" w:line="240" w:lineRule="auto"/>
        <w:jc w:val="center"/>
        <w:rPr>
          <w:rFonts w:cstheme="minorHAnsi"/>
          <w:szCs w:val="24"/>
        </w:rPr>
      </w:pPr>
      <w:r>
        <w:rPr>
          <w:noProof/>
        </w:rPr>
        <w:drawing>
          <wp:inline distT="0" distB="0" distL="0" distR="0" wp14:anchorId="7E3DBA1F" wp14:editId="211A3D16">
            <wp:extent cx="698500" cy="653813"/>
            <wp:effectExtent l="0" t="0" r="6350" b="0"/>
            <wp:docPr id="3" name="Picture 3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45" cy="65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0945" w:rsidRDefault="00AE0945" w:rsidP="00AE0945">
      <w:pPr>
        <w:spacing w:after="0" w:line="240" w:lineRule="auto"/>
        <w:jc w:val="center"/>
        <w:rPr>
          <w:rFonts w:cstheme="minorHAnsi"/>
          <w:szCs w:val="24"/>
        </w:rPr>
      </w:pPr>
    </w:p>
    <w:p w:rsidR="0010518E" w:rsidRPr="00AE0945" w:rsidRDefault="00F607E4" w:rsidP="00AE094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E0945">
        <w:rPr>
          <w:rFonts w:cstheme="minorHAnsi"/>
          <w:szCs w:val="24"/>
        </w:rPr>
        <w:t xml:space="preserve">Please visit </w:t>
      </w:r>
      <w:hyperlink r:id="rId10" w:history="1">
        <w:r w:rsidRPr="00AE0945">
          <w:rPr>
            <w:rStyle w:val="Hyperlink"/>
            <w:rFonts w:cstheme="minorHAnsi"/>
            <w:szCs w:val="24"/>
          </w:rPr>
          <w:t>OCC’s website</w:t>
        </w:r>
      </w:hyperlink>
      <w:r w:rsidRPr="00AE0945">
        <w:rPr>
          <w:rFonts w:cstheme="minorHAnsi"/>
          <w:szCs w:val="24"/>
        </w:rPr>
        <w:t>.</w:t>
      </w:r>
    </w:p>
    <w:sectPr w:rsidR="0010518E" w:rsidRPr="00AE0945" w:rsidSect="00AE0945">
      <w:headerReference w:type="default" r:id="rId11"/>
      <w:headerReference w:type="first" r:id="rId12"/>
      <w:pgSz w:w="12240" w:h="15840"/>
      <w:pgMar w:top="180" w:right="1440" w:bottom="810" w:left="1440" w:header="45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889" w:rsidRDefault="00264889" w:rsidP="0089420A">
      <w:pPr>
        <w:spacing w:after="0" w:line="240" w:lineRule="auto"/>
      </w:pPr>
      <w:r>
        <w:separator/>
      </w:r>
    </w:p>
  </w:endnote>
  <w:endnote w:type="continuationSeparator" w:id="0">
    <w:p w:rsidR="00264889" w:rsidRDefault="00264889" w:rsidP="0089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889" w:rsidRDefault="00264889" w:rsidP="0089420A">
      <w:pPr>
        <w:spacing w:after="0" w:line="240" w:lineRule="auto"/>
      </w:pPr>
      <w:r>
        <w:separator/>
      </w:r>
    </w:p>
  </w:footnote>
  <w:footnote w:type="continuationSeparator" w:id="0">
    <w:p w:rsidR="00264889" w:rsidRDefault="00264889" w:rsidP="0089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89" w:rsidRDefault="00264889" w:rsidP="0010518E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89" w:rsidRDefault="00264889" w:rsidP="001051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41BB"/>
    <w:multiLevelType w:val="hybridMultilevel"/>
    <w:tmpl w:val="DBFE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8167C"/>
    <w:multiLevelType w:val="hybridMultilevel"/>
    <w:tmpl w:val="9EBAB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666E37"/>
    <w:multiLevelType w:val="hybridMultilevel"/>
    <w:tmpl w:val="07CA4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461A37"/>
    <w:multiLevelType w:val="hybridMultilevel"/>
    <w:tmpl w:val="D6D2D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E5"/>
    <w:rsid w:val="000219CD"/>
    <w:rsid w:val="00096F4D"/>
    <w:rsid w:val="000D2710"/>
    <w:rsid w:val="000E40DE"/>
    <w:rsid w:val="0010518E"/>
    <w:rsid w:val="00174544"/>
    <w:rsid w:val="00181334"/>
    <w:rsid w:val="00190FB0"/>
    <w:rsid w:val="001F1147"/>
    <w:rsid w:val="00207423"/>
    <w:rsid w:val="002144EF"/>
    <w:rsid w:val="00224410"/>
    <w:rsid w:val="00264889"/>
    <w:rsid w:val="002863AE"/>
    <w:rsid w:val="002C79F9"/>
    <w:rsid w:val="00310E10"/>
    <w:rsid w:val="0033122A"/>
    <w:rsid w:val="003D62E5"/>
    <w:rsid w:val="00416E22"/>
    <w:rsid w:val="0042232D"/>
    <w:rsid w:val="0045281E"/>
    <w:rsid w:val="0047412C"/>
    <w:rsid w:val="004E232D"/>
    <w:rsid w:val="004E668E"/>
    <w:rsid w:val="004F2502"/>
    <w:rsid w:val="004F6092"/>
    <w:rsid w:val="00520995"/>
    <w:rsid w:val="00564B85"/>
    <w:rsid w:val="005B42D7"/>
    <w:rsid w:val="005C6B40"/>
    <w:rsid w:val="005D4B99"/>
    <w:rsid w:val="005E4393"/>
    <w:rsid w:val="00601BCB"/>
    <w:rsid w:val="0060221C"/>
    <w:rsid w:val="006623C1"/>
    <w:rsid w:val="006B2F4D"/>
    <w:rsid w:val="006B4551"/>
    <w:rsid w:val="006B6911"/>
    <w:rsid w:val="006C63C1"/>
    <w:rsid w:val="00706E87"/>
    <w:rsid w:val="0077321E"/>
    <w:rsid w:val="007971AD"/>
    <w:rsid w:val="00823597"/>
    <w:rsid w:val="008644D0"/>
    <w:rsid w:val="0089420A"/>
    <w:rsid w:val="00894732"/>
    <w:rsid w:val="008B69E7"/>
    <w:rsid w:val="009553F1"/>
    <w:rsid w:val="0097664B"/>
    <w:rsid w:val="009B3ED4"/>
    <w:rsid w:val="009C761A"/>
    <w:rsid w:val="00A323D7"/>
    <w:rsid w:val="00A3289E"/>
    <w:rsid w:val="00AA1F02"/>
    <w:rsid w:val="00AE0945"/>
    <w:rsid w:val="00B2231A"/>
    <w:rsid w:val="00B612E1"/>
    <w:rsid w:val="00B8087A"/>
    <w:rsid w:val="00C163C3"/>
    <w:rsid w:val="00C363E5"/>
    <w:rsid w:val="00CF2A8F"/>
    <w:rsid w:val="00D018E6"/>
    <w:rsid w:val="00D1674D"/>
    <w:rsid w:val="00D4628A"/>
    <w:rsid w:val="00D8118B"/>
    <w:rsid w:val="00D87FB0"/>
    <w:rsid w:val="00DB51E6"/>
    <w:rsid w:val="00DC52C8"/>
    <w:rsid w:val="00DD146C"/>
    <w:rsid w:val="00DD1AF7"/>
    <w:rsid w:val="00DD54F4"/>
    <w:rsid w:val="00E25D2F"/>
    <w:rsid w:val="00E63286"/>
    <w:rsid w:val="00E850E5"/>
    <w:rsid w:val="00E902B4"/>
    <w:rsid w:val="00F33368"/>
    <w:rsid w:val="00F607E4"/>
    <w:rsid w:val="00F74EF4"/>
    <w:rsid w:val="00F86342"/>
    <w:rsid w:val="00FB13DA"/>
    <w:rsid w:val="00FE0CF2"/>
    <w:rsid w:val="00FE12AA"/>
    <w:rsid w:val="00F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20A"/>
  </w:style>
  <w:style w:type="paragraph" w:styleId="Footer">
    <w:name w:val="footer"/>
    <w:basedOn w:val="Normal"/>
    <w:link w:val="FooterChar"/>
    <w:uiPriority w:val="99"/>
    <w:unhideWhenUsed/>
    <w:rsid w:val="0089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20A"/>
  </w:style>
  <w:style w:type="character" w:styleId="Hyperlink">
    <w:name w:val="Hyperlink"/>
    <w:basedOn w:val="DefaultParagraphFont"/>
    <w:uiPriority w:val="99"/>
    <w:unhideWhenUsed/>
    <w:rsid w:val="00105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62E5"/>
    <w:pPr>
      <w:ind w:left="720"/>
      <w:contextualSpacing/>
    </w:pPr>
  </w:style>
  <w:style w:type="paragraph" w:customStyle="1" w:styleId="Default">
    <w:name w:val="Default"/>
    <w:rsid w:val="008947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C79F9"/>
    <w:pPr>
      <w:widowControl w:val="0"/>
      <w:spacing w:before="199" w:after="0" w:line="240" w:lineRule="auto"/>
      <w:ind w:left="100" w:firstLine="72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C79F9"/>
    <w:rPr>
      <w:rFonts w:ascii="Calibri" w:eastAsia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20A"/>
  </w:style>
  <w:style w:type="paragraph" w:styleId="Footer">
    <w:name w:val="footer"/>
    <w:basedOn w:val="Normal"/>
    <w:link w:val="FooterChar"/>
    <w:uiPriority w:val="99"/>
    <w:unhideWhenUsed/>
    <w:rsid w:val="0089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20A"/>
  </w:style>
  <w:style w:type="character" w:styleId="Hyperlink">
    <w:name w:val="Hyperlink"/>
    <w:basedOn w:val="DefaultParagraphFont"/>
    <w:uiPriority w:val="99"/>
    <w:unhideWhenUsed/>
    <w:rsid w:val="00105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62E5"/>
    <w:pPr>
      <w:ind w:left="720"/>
      <w:contextualSpacing/>
    </w:pPr>
  </w:style>
  <w:style w:type="paragraph" w:customStyle="1" w:styleId="Default">
    <w:name w:val="Default"/>
    <w:rsid w:val="008947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C79F9"/>
    <w:pPr>
      <w:widowControl w:val="0"/>
      <w:spacing w:before="199" w:after="0" w:line="240" w:lineRule="auto"/>
      <w:ind w:left="100" w:firstLine="72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C79F9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t.gov/occ/site/default.a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C5FB6-AFB5-462C-93B0-DE101400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Thompson</dc:creator>
  <cp:lastModifiedBy>Melody Mendez</cp:lastModifiedBy>
  <cp:revision>3</cp:revision>
  <cp:lastPrinted>2019-05-28T18:09:00Z</cp:lastPrinted>
  <dcterms:created xsi:type="dcterms:W3CDTF">2019-05-29T15:54:00Z</dcterms:created>
  <dcterms:modified xsi:type="dcterms:W3CDTF">2019-05-29T15:54:00Z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