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09" w:rsidRDefault="00041009" w:rsidP="00AF41C1">
      <w:pPr>
        <w:jc w:val="center"/>
        <w:rPr>
          <w:rFonts w:ascii="Century Schoolbook" w:hAnsi="Century Schoolbook"/>
          <w:b/>
          <w:color w:val="212121"/>
          <w:sz w:val="24"/>
          <w:szCs w:val="24"/>
        </w:rPr>
      </w:pPr>
      <w:r>
        <w:rPr>
          <w:rFonts w:ascii="Century Schoolbook" w:hAnsi="Century Schoolbook"/>
          <w:b/>
          <w:noProof/>
          <w:color w:val="212121"/>
          <w:sz w:val="24"/>
          <w:szCs w:val="24"/>
        </w:rPr>
        <w:drawing>
          <wp:inline distT="0" distB="0" distL="0" distR="0">
            <wp:extent cx="5305425" cy="2047875"/>
            <wp:effectExtent l="0" t="0" r="9525" b="9525"/>
            <wp:docPr id="1" name="Picture 1" descr="C:\Users\Elizabeth.Benton\AppData\Local\Microsoft\Windows\INetCache\Content.Outlook\I4SM63PJ\OCC and AG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Benton\AppData\Local\Microsoft\Windows\INetCache\Content.Outlook\I4SM63PJ\OCC and AG logo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2047875"/>
                    </a:xfrm>
                    <a:prstGeom prst="rect">
                      <a:avLst/>
                    </a:prstGeom>
                    <a:noFill/>
                    <a:ln>
                      <a:noFill/>
                    </a:ln>
                  </pic:spPr>
                </pic:pic>
              </a:graphicData>
            </a:graphic>
          </wp:inline>
        </w:drawing>
      </w:r>
    </w:p>
    <w:p w:rsidR="00BD0692" w:rsidRPr="00BD0692" w:rsidRDefault="00BD0692" w:rsidP="00BD0692">
      <w:pPr>
        <w:rPr>
          <w:rFonts w:ascii="Helvetica" w:hAnsi="Helvetica" w:cs="Helvetica"/>
          <w:b/>
          <w:bCs/>
          <w:color w:val="444444"/>
          <w:sz w:val="24"/>
          <w:szCs w:val="19"/>
          <w:shd w:val="clear" w:color="auto" w:fill="FEFEFE"/>
        </w:rPr>
      </w:pPr>
    </w:p>
    <w:p w:rsidR="00041009" w:rsidRPr="00BD0692" w:rsidRDefault="00BD0692" w:rsidP="00BD0692">
      <w:pPr>
        <w:rPr>
          <w:rFonts w:ascii="Century Schoolbook" w:hAnsi="Century Schoolbook" w:cs="Helvetica"/>
          <w:b/>
          <w:bCs/>
          <w:color w:val="444444"/>
          <w:sz w:val="24"/>
          <w:szCs w:val="19"/>
          <w:shd w:val="clear" w:color="auto" w:fill="FEFEFE"/>
        </w:rPr>
      </w:pPr>
      <w:r w:rsidRPr="00BD0692">
        <w:rPr>
          <w:rFonts w:ascii="Century Schoolbook" w:hAnsi="Century Schoolbook" w:cs="Helvetica"/>
          <w:b/>
          <w:bCs/>
          <w:color w:val="444444"/>
          <w:sz w:val="24"/>
          <w:szCs w:val="19"/>
          <w:shd w:val="clear" w:color="auto" w:fill="FEFEFE"/>
        </w:rPr>
        <w:t>04/17/2019</w:t>
      </w:r>
      <w:bookmarkStart w:id="0" w:name="_GoBack"/>
      <w:bookmarkEnd w:id="0"/>
    </w:p>
    <w:p w:rsidR="00BD0692" w:rsidRDefault="00BD0692" w:rsidP="00BD0692">
      <w:pPr>
        <w:rPr>
          <w:rFonts w:ascii="Century Schoolbook" w:hAnsi="Century Schoolbook"/>
          <w:b/>
          <w:color w:val="212121"/>
          <w:sz w:val="24"/>
          <w:szCs w:val="24"/>
        </w:rPr>
      </w:pPr>
    </w:p>
    <w:p w:rsidR="00AF41C1" w:rsidRDefault="00CC45E7" w:rsidP="00AF41C1">
      <w:pPr>
        <w:jc w:val="center"/>
        <w:rPr>
          <w:rFonts w:ascii="Century Schoolbook" w:hAnsi="Century Schoolbook"/>
          <w:b/>
          <w:color w:val="212121"/>
          <w:sz w:val="24"/>
          <w:szCs w:val="24"/>
        </w:rPr>
      </w:pPr>
      <w:r>
        <w:rPr>
          <w:rFonts w:ascii="Century Schoolbook" w:hAnsi="Century Schoolbook"/>
          <w:b/>
          <w:color w:val="212121"/>
          <w:sz w:val="24"/>
          <w:szCs w:val="24"/>
        </w:rPr>
        <w:t xml:space="preserve">ATTORNEY GENERAL TONG, </w:t>
      </w:r>
      <w:r w:rsidR="00F13E59" w:rsidRPr="00D02C37">
        <w:rPr>
          <w:rFonts w:ascii="Century Schoolbook" w:hAnsi="Century Schoolbook"/>
          <w:b/>
          <w:color w:val="212121"/>
          <w:sz w:val="24"/>
          <w:szCs w:val="24"/>
        </w:rPr>
        <w:t>CONSUMER COUNSEL</w:t>
      </w:r>
      <w:r w:rsidR="00AF41C1">
        <w:rPr>
          <w:rFonts w:ascii="Century Schoolbook" w:hAnsi="Century Schoolbook"/>
          <w:b/>
          <w:color w:val="212121"/>
          <w:sz w:val="24"/>
          <w:szCs w:val="24"/>
        </w:rPr>
        <w:t xml:space="preserve"> KATZ </w:t>
      </w:r>
    </w:p>
    <w:p w:rsidR="002733A4" w:rsidRDefault="00A16E2A" w:rsidP="002733A4">
      <w:pPr>
        <w:jc w:val="center"/>
        <w:rPr>
          <w:rFonts w:ascii="Century Schoolbook" w:hAnsi="Century Schoolbook"/>
          <w:b/>
          <w:color w:val="212121"/>
          <w:sz w:val="24"/>
          <w:szCs w:val="24"/>
        </w:rPr>
      </w:pPr>
      <w:r w:rsidRPr="00D02C37">
        <w:rPr>
          <w:rFonts w:ascii="Century Schoolbook" w:hAnsi="Century Schoolbook"/>
          <w:b/>
          <w:color w:val="212121"/>
          <w:sz w:val="24"/>
          <w:szCs w:val="24"/>
        </w:rPr>
        <w:t xml:space="preserve">SUPPORT </w:t>
      </w:r>
      <w:r w:rsidR="002733A4">
        <w:rPr>
          <w:rFonts w:ascii="Century Schoolbook" w:hAnsi="Century Schoolbook"/>
          <w:b/>
          <w:color w:val="212121"/>
          <w:sz w:val="24"/>
          <w:szCs w:val="24"/>
        </w:rPr>
        <w:t xml:space="preserve">BAN OF “AUTO-RENEWALS” IN </w:t>
      </w:r>
    </w:p>
    <w:p w:rsidR="00A16E2A" w:rsidRDefault="002733A4" w:rsidP="002733A4">
      <w:pPr>
        <w:jc w:val="center"/>
        <w:rPr>
          <w:rFonts w:ascii="Century Schoolbook" w:hAnsi="Century Schoolbook"/>
          <w:b/>
          <w:color w:val="212121"/>
          <w:sz w:val="24"/>
          <w:szCs w:val="24"/>
        </w:rPr>
      </w:pPr>
      <w:r>
        <w:rPr>
          <w:rFonts w:ascii="Century Schoolbook" w:hAnsi="Century Schoolbook"/>
          <w:b/>
          <w:color w:val="212121"/>
          <w:sz w:val="24"/>
          <w:szCs w:val="24"/>
        </w:rPr>
        <w:t xml:space="preserve">THIRD-PARTY ELECTRIC SUPPLIER CONTRACTS </w:t>
      </w:r>
    </w:p>
    <w:p w:rsidR="00AF41C1" w:rsidRPr="00D02C37" w:rsidRDefault="00AF41C1" w:rsidP="00AF41C1">
      <w:pPr>
        <w:jc w:val="center"/>
        <w:rPr>
          <w:rFonts w:ascii="Century Schoolbook" w:hAnsi="Century Schoolbook"/>
          <w:color w:val="212121"/>
          <w:sz w:val="24"/>
          <w:szCs w:val="24"/>
        </w:rPr>
      </w:pPr>
    </w:p>
    <w:p w:rsidR="00D96E70" w:rsidRDefault="00A16E2A" w:rsidP="00A16E2A">
      <w:pPr>
        <w:rPr>
          <w:rFonts w:ascii="Century Schoolbook" w:hAnsi="Century Schoolbook"/>
          <w:color w:val="212121"/>
          <w:sz w:val="24"/>
          <w:szCs w:val="24"/>
        </w:rPr>
      </w:pPr>
      <w:r w:rsidRPr="00D02C37">
        <w:rPr>
          <w:rFonts w:ascii="Century Schoolbook" w:hAnsi="Century Schoolbook"/>
          <w:color w:val="212121"/>
          <w:sz w:val="24"/>
          <w:szCs w:val="24"/>
        </w:rPr>
        <w:t xml:space="preserve">(Hartford, CT) –Attorney General William Tong </w:t>
      </w:r>
      <w:r w:rsidR="00CC45E7">
        <w:rPr>
          <w:rFonts w:ascii="Century Schoolbook" w:hAnsi="Century Schoolbook"/>
          <w:color w:val="212121"/>
          <w:sz w:val="24"/>
          <w:szCs w:val="24"/>
        </w:rPr>
        <w:t xml:space="preserve">and </w:t>
      </w:r>
      <w:r w:rsidR="00CC45E7" w:rsidRPr="00D02C37">
        <w:rPr>
          <w:rFonts w:ascii="Century Schoolbook" w:hAnsi="Century Schoolbook"/>
          <w:color w:val="212121"/>
          <w:sz w:val="24"/>
          <w:szCs w:val="24"/>
        </w:rPr>
        <w:t xml:space="preserve">Consumer Counsel Elin </w:t>
      </w:r>
      <w:r w:rsidR="00CC45E7">
        <w:rPr>
          <w:rFonts w:ascii="Century Schoolbook" w:hAnsi="Century Schoolbook"/>
          <w:color w:val="212121"/>
          <w:sz w:val="24"/>
          <w:szCs w:val="24"/>
        </w:rPr>
        <w:t xml:space="preserve">Swanson </w:t>
      </w:r>
      <w:r w:rsidR="00CC45E7" w:rsidRPr="00D02C37">
        <w:rPr>
          <w:rFonts w:ascii="Century Schoolbook" w:hAnsi="Century Schoolbook"/>
          <w:color w:val="212121"/>
          <w:sz w:val="24"/>
          <w:szCs w:val="24"/>
        </w:rPr>
        <w:t xml:space="preserve">Katz </w:t>
      </w:r>
      <w:r w:rsidRPr="00D02C37">
        <w:rPr>
          <w:rFonts w:ascii="Century Schoolbook" w:hAnsi="Century Schoolbook"/>
          <w:color w:val="212121"/>
          <w:sz w:val="24"/>
          <w:szCs w:val="24"/>
        </w:rPr>
        <w:t>today</w:t>
      </w:r>
      <w:r w:rsidR="00F13E59">
        <w:rPr>
          <w:rFonts w:ascii="Century Schoolbook" w:hAnsi="Century Schoolbook"/>
          <w:color w:val="212121"/>
          <w:sz w:val="24"/>
          <w:szCs w:val="24"/>
        </w:rPr>
        <w:t xml:space="preserve"> urge</w:t>
      </w:r>
      <w:r w:rsidR="00CC45E7">
        <w:rPr>
          <w:rFonts w:ascii="Century Schoolbook" w:hAnsi="Century Schoolbook"/>
          <w:color w:val="212121"/>
          <w:sz w:val="24"/>
          <w:szCs w:val="24"/>
        </w:rPr>
        <w:t>d</w:t>
      </w:r>
      <w:r w:rsidR="00F13E59">
        <w:rPr>
          <w:rFonts w:ascii="Century Schoolbook" w:hAnsi="Century Schoolbook"/>
          <w:color w:val="212121"/>
          <w:sz w:val="24"/>
          <w:szCs w:val="24"/>
        </w:rPr>
        <w:t xml:space="preserve"> legislators to</w:t>
      </w:r>
      <w:r w:rsidR="00294D4B">
        <w:rPr>
          <w:rFonts w:ascii="Century Schoolbook" w:hAnsi="Century Schoolbook"/>
          <w:color w:val="212121"/>
          <w:sz w:val="24"/>
          <w:szCs w:val="24"/>
        </w:rPr>
        <w:t xml:space="preserve"> pass the comprehensive suite of </w:t>
      </w:r>
      <w:r w:rsidR="001A4143">
        <w:rPr>
          <w:rFonts w:ascii="Century Schoolbook" w:hAnsi="Century Schoolbook"/>
          <w:color w:val="212121"/>
          <w:sz w:val="24"/>
          <w:szCs w:val="24"/>
        </w:rPr>
        <w:t xml:space="preserve">protections for existing and prospective customers of </w:t>
      </w:r>
      <w:r w:rsidR="002733A4">
        <w:rPr>
          <w:rFonts w:ascii="Century Schoolbook" w:hAnsi="Century Schoolbook"/>
          <w:color w:val="212121"/>
          <w:sz w:val="24"/>
          <w:szCs w:val="24"/>
        </w:rPr>
        <w:t>third-party</w:t>
      </w:r>
      <w:r w:rsidR="001A4143">
        <w:rPr>
          <w:rFonts w:ascii="Century Schoolbook" w:hAnsi="Century Schoolbook"/>
          <w:color w:val="212121"/>
          <w:sz w:val="24"/>
          <w:szCs w:val="24"/>
        </w:rPr>
        <w:t xml:space="preserve"> electric suppliers </w:t>
      </w:r>
      <w:r w:rsidR="00294D4B">
        <w:rPr>
          <w:rFonts w:ascii="Century Schoolbook" w:hAnsi="Century Schoolbook"/>
          <w:color w:val="212121"/>
          <w:sz w:val="24"/>
          <w:szCs w:val="24"/>
        </w:rPr>
        <w:t>in House Bill No. 7155, An Act Concerning Consumer Protections for C</w:t>
      </w:r>
      <w:r w:rsidR="002733A4">
        <w:rPr>
          <w:rFonts w:ascii="Century Schoolbook" w:hAnsi="Century Schoolbook"/>
          <w:color w:val="212121"/>
          <w:sz w:val="24"/>
          <w:szCs w:val="24"/>
        </w:rPr>
        <w:t xml:space="preserve">ustomers of Electric Suppliers, including a proposed ban of so-called “auto-renewals” of third-party supplier contracts with residential consumers. </w:t>
      </w:r>
      <w:r w:rsidR="00294D4B">
        <w:rPr>
          <w:rFonts w:ascii="Century Schoolbook" w:hAnsi="Century Schoolbook"/>
          <w:color w:val="212121"/>
          <w:sz w:val="24"/>
          <w:szCs w:val="24"/>
        </w:rPr>
        <w:t xml:space="preserve"> </w:t>
      </w:r>
    </w:p>
    <w:p w:rsidR="002733A4" w:rsidRDefault="002733A4" w:rsidP="00A16E2A">
      <w:pPr>
        <w:rPr>
          <w:rFonts w:ascii="Century Schoolbook" w:hAnsi="Century Schoolbook"/>
          <w:color w:val="212121"/>
          <w:sz w:val="24"/>
          <w:szCs w:val="24"/>
        </w:rPr>
      </w:pPr>
    </w:p>
    <w:p w:rsidR="00D02C37" w:rsidRDefault="00294D4B" w:rsidP="00A16E2A">
      <w:pPr>
        <w:rPr>
          <w:rFonts w:ascii="Century Schoolbook" w:hAnsi="Century Schoolbook"/>
          <w:color w:val="212121"/>
          <w:sz w:val="24"/>
          <w:szCs w:val="24"/>
        </w:rPr>
      </w:pPr>
      <w:r>
        <w:rPr>
          <w:rFonts w:ascii="Century Schoolbook" w:hAnsi="Century Schoolbook"/>
          <w:color w:val="212121"/>
          <w:sz w:val="24"/>
          <w:szCs w:val="24"/>
        </w:rPr>
        <w:t>House Bill No. 7155</w:t>
      </w:r>
      <w:r w:rsidR="002733A4">
        <w:rPr>
          <w:rFonts w:ascii="Century Schoolbook" w:hAnsi="Century Schoolbook"/>
          <w:color w:val="212121"/>
          <w:sz w:val="24"/>
          <w:szCs w:val="24"/>
        </w:rPr>
        <w:t xml:space="preserve"> proposes</w:t>
      </w:r>
      <w:r>
        <w:rPr>
          <w:rFonts w:ascii="Century Schoolbook" w:hAnsi="Century Schoolbook"/>
          <w:color w:val="212121"/>
          <w:sz w:val="24"/>
          <w:szCs w:val="24"/>
        </w:rPr>
        <w:t xml:space="preserve"> a requirement that residential customers must provide affirmative consent via a written or electronic signature to renew a contract with an electric supplier.  If a residential customer does not provide affirmative consent to a supplier’s contract renewal, the bill requires the customer to be placed on the </w:t>
      </w:r>
      <w:r w:rsidR="007E1F71">
        <w:rPr>
          <w:rFonts w:ascii="Century Schoolbook" w:hAnsi="Century Schoolbook"/>
          <w:color w:val="212121"/>
          <w:sz w:val="24"/>
          <w:szCs w:val="24"/>
        </w:rPr>
        <w:t xml:space="preserve">electric utility </w:t>
      </w:r>
      <w:r>
        <w:rPr>
          <w:rFonts w:ascii="Century Schoolbook" w:hAnsi="Century Schoolbook"/>
          <w:color w:val="212121"/>
          <w:sz w:val="24"/>
          <w:szCs w:val="24"/>
        </w:rPr>
        <w:t xml:space="preserve">standard service rate when the contract expires.     </w:t>
      </w:r>
      <w:r w:rsidR="00F13E59">
        <w:rPr>
          <w:rFonts w:ascii="Century Schoolbook" w:hAnsi="Century Schoolbook"/>
          <w:color w:val="212121"/>
          <w:sz w:val="24"/>
          <w:szCs w:val="24"/>
        </w:rPr>
        <w:t xml:space="preserve"> </w:t>
      </w:r>
      <w:r w:rsidR="00A16E2A" w:rsidRPr="00D02C37">
        <w:rPr>
          <w:rFonts w:ascii="Century Schoolbook" w:hAnsi="Century Schoolbook"/>
          <w:color w:val="212121"/>
          <w:sz w:val="24"/>
          <w:szCs w:val="24"/>
        </w:rPr>
        <w:t xml:space="preserve"> </w:t>
      </w:r>
    </w:p>
    <w:p w:rsidR="00294D4B" w:rsidRDefault="00294D4B" w:rsidP="00A16E2A">
      <w:pPr>
        <w:rPr>
          <w:rFonts w:ascii="Century Schoolbook" w:hAnsi="Century Schoolbook"/>
          <w:color w:val="212121"/>
          <w:sz w:val="24"/>
          <w:szCs w:val="24"/>
        </w:rPr>
      </w:pPr>
    </w:p>
    <w:p w:rsidR="00CC45E7" w:rsidRPr="00CC45E7" w:rsidRDefault="00CC45E7" w:rsidP="00CC45E7">
      <w:pPr>
        <w:rPr>
          <w:rFonts w:ascii="Century Schoolbook" w:hAnsi="Century Schoolbook"/>
          <w:b/>
          <w:color w:val="212121"/>
          <w:sz w:val="24"/>
          <w:szCs w:val="24"/>
        </w:rPr>
      </w:pPr>
      <w:r>
        <w:rPr>
          <w:rFonts w:ascii="Century Schoolbook" w:hAnsi="Century Schoolbook"/>
          <w:color w:val="212121"/>
          <w:sz w:val="24"/>
          <w:szCs w:val="24"/>
        </w:rPr>
        <w:t xml:space="preserve">"Electricity is far too expensive in Connecticut as it is, and no one should be tricked into paying even more. These changes will make it harder for bad actors to use teaser rates to lure and lock consumers into over-priced contracts. Putting an end to automatic renewals and enacting new safeguards against aggressive and misleading marketing are important steps to curb abuse in this industry," said </w:t>
      </w:r>
      <w:r w:rsidRPr="00CC45E7">
        <w:rPr>
          <w:rFonts w:ascii="Century Schoolbook" w:hAnsi="Century Schoolbook"/>
          <w:b/>
          <w:color w:val="212121"/>
          <w:sz w:val="24"/>
          <w:szCs w:val="24"/>
        </w:rPr>
        <w:t xml:space="preserve">Attorney General William Tong.  </w:t>
      </w:r>
    </w:p>
    <w:p w:rsidR="00CC45E7" w:rsidRDefault="00CC45E7" w:rsidP="00294D4B">
      <w:pPr>
        <w:rPr>
          <w:rFonts w:ascii="Century Schoolbook" w:hAnsi="Century Schoolbook"/>
          <w:color w:val="212121"/>
          <w:sz w:val="24"/>
          <w:szCs w:val="24"/>
        </w:rPr>
      </w:pPr>
    </w:p>
    <w:p w:rsidR="00294D4B" w:rsidRPr="00CC45E7" w:rsidRDefault="00294D4B" w:rsidP="00294D4B">
      <w:pPr>
        <w:rPr>
          <w:rFonts w:ascii="Century Schoolbook" w:hAnsi="Century Schoolbook"/>
          <w:b/>
          <w:color w:val="212121"/>
          <w:sz w:val="24"/>
          <w:szCs w:val="24"/>
        </w:rPr>
      </w:pPr>
      <w:r>
        <w:rPr>
          <w:rFonts w:ascii="Century Schoolbook" w:hAnsi="Century Schoolbook"/>
          <w:color w:val="212121"/>
          <w:sz w:val="24"/>
          <w:szCs w:val="24"/>
        </w:rPr>
        <w:t>“</w:t>
      </w:r>
      <w:r w:rsidR="002733A4">
        <w:rPr>
          <w:rFonts w:ascii="Century Schoolbook" w:hAnsi="Century Schoolbook" w:cs="Times New Roman"/>
          <w:sz w:val="24"/>
          <w:szCs w:val="24"/>
        </w:rPr>
        <w:t>One of the most common complaints I hear is that a consumer signed a contract with a low teaser rate for electricity, but then the contract automatically renewed with an escalating rate, sometimes for years at a time.  The consumer then finds, when he or she remember</w:t>
      </w:r>
      <w:r w:rsidR="00817840">
        <w:rPr>
          <w:rFonts w:ascii="Century Schoolbook" w:hAnsi="Century Schoolbook" w:cs="Times New Roman"/>
          <w:sz w:val="24"/>
          <w:szCs w:val="24"/>
        </w:rPr>
        <w:t>s</w:t>
      </w:r>
      <w:r w:rsidR="002733A4">
        <w:rPr>
          <w:rFonts w:ascii="Century Schoolbook" w:hAnsi="Century Schoolbook" w:cs="Times New Roman"/>
          <w:sz w:val="24"/>
          <w:szCs w:val="24"/>
        </w:rPr>
        <w:t xml:space="preserve"> to check </w:t>
      </w:r>
      <w:r w:rsidR="00817840">
        <w:rPr>
          <w:rFonts w:ascii="Century Schoolbook" w:hAnsi="Century Schoolbook" w:cs="Times New Roman"/>
          <w:sz w:val="24"/>
          <w:szCs w:val="24"/>
        </w:rPr>
        <w:t>the</w:t>
      </w:r>
      <w:r w:rsidR="002733A4">
        <w:rPr>
          <w:rFonts w:ascii="Century Schoolbook" w:hAnsi="Century Schoolbook" w:cs="Times New Roman"/>
          <w:sz w:val="24"/>
          <w:szCs w:val="24"/>
        </w:rPr>
        <w:t xml:space="preserve"> electric </w:t>
      </w:r>
      <w:r w:rsidR="00BD0692">
        <w:rPr>
          <w:rFonts w:ascii="Century Schoolbook" w:hAnsi="Century Schoolbook" w:cs="Times New Roman"/>
          <w:sz w:val="24"/>
          <w:szCs w:val="24"/>
        </w:rPr>
        <w:t>bill, that</w:t>
      </w:r>
      <w:r w:rsidR="002733A4">
        <w:rPr>
          <w:rFonts w:ascii="Century Schoolbook" w:hAnsi="Century Schoolbook" w:cs="Times New Roman"/>
          <w:sz w:val="24"/>
          <w:szCs w:val="24"/>
        </w:rPr>
        <w:t xml:space="preserve"> the rate has shot up, and so has t</w:t>
      </w:r>
      <w:r w:rsidR="00817840">
        <w:rPr>
          <w:rFonts w:ascii="Century Schoolbook" w:hAnsi="Century Schoolbook" w:cs="Times New Roman"/>
          <w:sz w:val="24"/>
          <w:szCs w:val="24"/>
        </w:rPr>
        <w:t>he electric bill, sometimes doubling or even tripling the teaser rate,” Consumer Counsel Katz said.  “</w:t>
      </w:r>
      <w:r w:rsidR="008B1B26">
        <w:rPr>
          <w:rFonts w:ascii="Century Schoolbook" w:hAnsi="Century Schoolbook" w:cs="Times New Roman"/>
          <w:sz w:val="24"/>
          <w:szCs w:val="24"/>
        </w:rPr>
        <w:t xml:space="preserve">The affirmative consent feature </w:t>
      </w:r>
      <w:r w:rsidR="00FF49F5">
        <w:rPr>
          <w:rFonts w:ascii="Century Schoolbook" w:hAnsi="Century Schoolbook" w:cs="Times New Roman"/>
          <w:sz w:val="24"/>
          <w:szCs w:val="24"/>
        </w:rPr>
        <w:t>safeguards</w:t>
      </w:r>
      <w:r w:rsidR="008B1B26">
        <w:rPr>
          <w:rFonts w:ascii="Century Schoolbook" w:hAnsi="Century Schoolbook" w:cs="Times New Roman"/>
          <w:sz w:val="24"/>
          <w:szCs w:val="24"/>
        </w:rPr>
        <w:t xml:space="preserve"> </w:t>
      </w:r>
      <w:r w:rsidR="00FF49F5">
        <w:rPr>
          <w:rFonts w:ascii="Century Schoolbook" w:hAnsi="Century Schoolbook" w:cs="Times New Roman"/>
          <w:sz w:val="24"/>
          <w:szCs w:val="24"/>
        </w:rPr>
        <w:t xml:space="preserve">consumers </w:t>
      </w:r>
      <w:r w:rsidR="008B1B26">
        <w:rPr>
          <w:rFonts w:ascii="Century Schoolbook" w:hAnsi="Century Schoolbook" w:cs="Times New Roman"/>
          <w:sz w:val="24"/>
          <w:szCs w:val="24"/>
        </w:rPr>
        <w:t xml:space="preserve">by requiring either </w:t>
      </w:r>
      <w:r w:rsidR="00FF49F5">
        <w:rPr>
          <w:rFonts w:ascii="Century Schoolbook" w:hAnsi="Century Schoolbook" w:cs="Times New Roman"/>
          <w:sz w:val="24"/>
          <w:szCs w:val="24"/>
        </w:rPr>
        <w:t xml:space="preserve">their </w:t>
      </w:r>
      <w:r w:rsidR="008B1B26">
        <w:rPr>
          <w:rFonts w:ascii="Century Schoolbook" w:hAnsi="Century Schoolbook" w:cs="Times New Roman"/>
          <w:sz w:val="24"/>
          <w:szCs w:val="24"/>
        </w:rPr>
        <w:t xml:space="preserve">written or electronic signature </w:t>
      </w:r>
      <w:r w:rsidR="00817840">
        <w:rPr>
          <w:rFonts w:ascii="Century Schoolbook" w:hAnsi="Century Schoolbook" w:cs="Times New Roman"/>
          <w:sz w:val="24"/>
          <w:szCs w:val="24"/>
        </w:rPr>
        <w:t>to renew a</w:t>
      </w:r>
      <w:r w:rsidR="008B1B26">
        <w:rPr>
          <w:rFonts w:ascii="Century Schoolbook" w:hAnsi="Century Schoolbook" w:cs="Times New Roman"/>
          <w:sz w:val="24"/>
          <w:szCs w:val="24"/>
        </w:rPr>
        <w:t xml:space="preserve"> contract </w:t>
      </w:r>
      <w:r w:rsidR="00FF49F5">
        <w:rPr>
          <w:rFonts w:ascii="Century Schoolbook" w:hAnsi="Century Schoolbook" w:cs="Times New Roman"/>
          <w:sz w:val="24"/>
          <w:szCs w:val="24"/>
        </w:rPr>
        <w:t>with an electric supplier</w:t>
      </w:r>
      <w:r w:rsidR="00817840">
        <w:rPr>
          <w:rFonts w:ascii="Century Schoolbook" w:hAnsi="Century Schoolbook" w:cs="Times New Roman"/>
          <w:sz w:val="24"/>
          <w:szCs w:val="24"/>
        </w:rPr>
        <w:t xml:space="preserve">.  This allows the savvy consumers who read their </w:t>
      </w:r>
      <w:r w:rsidR="00817840">
        <w:rPr>
          <w:rFonts w:ascii="Century Schoolbook" w:hAnsi="Century Schoolbook" w:cs="Times New Roman"/>
          <w:sz w:val="24"/>
          <w:szCs w:val="24"/>
        </w:rPr>
        <w:lastRenderedPageBreak/>
        <w:t>bills closely each month to ‘shop’ the market,</w:t>
      </w:r>
      <w:r w:rsidR="008B1B26">
        <w:rPr>
          <w:rFonts w:ascii="Century Schoolbook" w:hAnsi="Century Schoolbook" w:cs="Times New Roman"/>
          <w:sz w:val="24"/>
          <w:szCs w:val="24"/>
        </w:rPr>
        <w:t xml:space="preserve"> while </w:t>
      </w:r>
      <w:r w:rsidR="00817840">
        <w:rPr>
          <w:rFonts w:ascii="Century Schoolbook" w:hAnsi="Century Schoolbook" w:cs="Times New Roman"/>
          <w:sz w:val="24"/>
          <w:szCs w:val="24"/>
        </w:rPr>
        <w:t>preventing those of us who don’t have the time, inclination, or expertise to follow electric rates that closely to avoid these auto-renewals that can costs hundreds or even thousands of dollars a year in excess electric costs</w:t>
      </w:r>
      <w:r w:rsidR="008B1B26">
        <w:rPr>
          <w:rFonts w:ascii="Century Schoolbook" w:hAnsi="Century Schoolbook" w:cs="Times New Roman"/>
          <w:sz w:val="24"/>
          <w:szCs w:val="24"/>
        </w:rPr>
        <w:t>.  There is no downside to affirmative consent</w:t>
      </w:r>
      <w:r w:rsidR="00FF49F5">
        <w:rPr>
          <w:rFonts w:ascii="Century Schoolbook" w:hAnsi="Century Schoolbook" w:cs="Times New Roman"/>
          <w:sz w:val="24"/>
          <w:szCs w:val="24"/>
        </w:rPr>
        <w:t xml:space="preserve">—even the most diligent consumer </w:t>
      </w:r>
      <w:r w:rsidR="00057FBF">
        <w:rPr>
          <w:rFonts w:ascii="Century Schoolbook" w:hAnsi="Century Schoolbook" w:cs="Times New Roman"/>
          <w:sz w:val="24"/>
          <w:szCs w:val="24"/>
        </w:rPr>
        <w:t xml:space="preserve">may </w:t>
      </w:r>
      <w:r w:rsidR="00FF49F5">
        <w:rPr>
          <w:rFonts w:ascii="Century Schoolbook" w:hAnsi="Century Schoolbook" w:cs="Times New Roman"/>
          <w:sz w:val="24"/>
          <w:szCs w:val="24"/>
        </w:rPr>
        <w:t xml:space="preserve">miss a renewal notice when life gets </w:t>
      </w:r>
      <w:r w:rsidR="001A4143">
        <w:rPr>
          <w:rFonts w:ascii="Century Schoolbook" w:hAnsi="Century Schoolbook" w:cs="Times New Roman"/>
          <w:sz w:val="24"/>
          <w:szCs w:val="24"/>
        </w:rPr>
        <w:t>hectic</w:t>
      </w:r>
      <w:r w:rsidR="00FF49F5">
        <w:rPr>
          <w:rFonts w:ascii="Century Schoolbook" w:hAnsi="Century Schoolbook" w:cs="Times New Roman"/>
          <w:sz w:val="24"/>
          <w:szCs w:val="24"/>
        </w:rPr>
        <w:t xml:space="preserve">,” </w:t>
      </w:r>
      <w:r w:rsidR="00B8323E" w:rsidRPr="00CC45E7">
        <w:rPr>
          <w:rFonts w:ascii="Century Schoolbook" w:hAnsi="Century Schoolbook" w:cs="Times New Roman"/>
          <w:b/>
          <w:sz w:val="24"/>
          <w:szCs w:val="24"/>
        </w:rPr>
        <w:t>said Consumer Counsel</w:t>
      </w:r>
      <w:r w:rsidRPr="00CC45E7">
        <w:rPr>
          <w:rFonts w:ascii="Century Schoolbook" w:hAnsi="Century Schoolbook" w:cs="Times New Roman"/>
          <w:b/>
          <w:sz w:val="24"/>
          <w:szCs w:val="24"/>
        </w:rPr>
        <w:t xml:space="preserve"> Katz.</w:t>
      </w:r>
    </w:p>
    <w:p w:rsidR="00D02C37" w:rsidRDefault="00D02C37" w:rsidP="00D02C37">
      <w:pPr>
        <w:rPr>
          <w:rFonts w:ascii="Century Schoolbook" w:hAnsi="Century Schoolbook"/>
          <w:color w:val="212121"/>
          <w:sz w:val="24"/>
          <w:szCs w:val="24"/>
        </w:rPr>
      </w:pPr>
    </w:p>
    <w:p w:rsidR="00975B29" w:rsidRDefault="001A4143" w:rsidP="009136E3">
      <w:pPr>
        <w:rPr>
          <w:rFonts w:ascii="Century Schoolbook" w:hAnsi="Century Schoolbook"/>
          <w:color w:val="212121"/>
          <w:sz w:val="24"/>
          <w:szCs w:val="24"/>
        </w:rPr>
      </w:pPr>
      <w:r>
        <w:rPr>
          <w:rFonts w:ascii="Century Schoolbook" w:hAnsi="Century Schoolbook"/>
          <w:color w:val="212121"/>
          <w:sz w:val="24"/>
          <w:szCs w:val="24"/>
        </w:rPr>
        <w:t xml:space="preserve">In addition to the affirmative consent </w:t>
      </w:r>
      <w:r w:rsidR="00057FBF">
        <w:rPr>
          <w:rFonts w:ascii="Century Schoolbook" w:hAnsi="Century Schoolbook"/>
          <w:color w:val="212121"/>
          <w:sz w:val="24"/>
          <w:szCs w:val="24"/>
        </w:rPr>
        <w:t>provision</w:t>
      </w:r>
      <w:r>
        <w:rPr>
          <w:rFonts w:ascii="Century Schoolbook" w:hAnsi="Century Schoolbook"/>
          <w:color w:val="212121"/>
          <w:sz w:val="24"/>
          <w:szCs w:val="24"/>
        </w:rPr>
        <w:t xml:space="preserve">, House Bill No. 7155 </w:t>
      </w:r>
      <w:r w:rsidR="00645F0E">
        <w:rPr>
          <w:rFonts w:ascii="Century Schoolbook" w:hAnsi="Century Schoolbook"/>
          <w:color w:val="212121"/>
          <w:sz w:val="24"/>
          <w:szCs w:val="24"/>
        </w:rPr>
        <w:t xml:space="preserve">also serves to protect consumers </w:t>
      </w:r>
      <w:r w:rsidR="00AF41C1">
        <w:rPr>
          <w:rFonts w:ascii="Century Schoolbook" w:hAnsi="Century Schoolbook"/>
          <w:color w:val="212121"/>
          <w:sz w:val="24"/>
          <w:szCs w:val="24"/>
        </w:rPr>
        <w:t xml:space="preserve">from aggressive and misleading electric supplier marketing tactics </w:t>
      </w:r>
      <w:r w:rsidR="00645F0E">
        <w:rPr>
          <w:rFonts w:ascii="Century Schoolbook" w:hAnsi="Century Schoolbook"/>
          <w:color w:val="212121"/>
          <w:sz w:val="24"/>
          <w:szCs w:val="24"/>
        </w:rPr>
        <w:t xml:space="preserve">by mandating that electric suppliers record their marketing interactions with consumers and </w:t>
      </w:r>
      <w:r w:rsidR="00E711C7">
        <w:rPr>
          <w:rFonts w:ascii="Century Schoolbook" w:hAnsi="Century Schoolbook"/>
          <w:color w:val="212121"/>
          <w:sz w:val="24"/>
          <w:szCs w:val="24"/>
        </w:rPr>
        <w:t xml:space="preserve">perform </w:t>
      </w:r>
      <w:r w:rsidR="00645F0E">
        <w:rPr>
          <w:rFonts w:ascii="Century Schoolbook" w:hAnsi="Century Schoolbook"/>
          <w:color w:val="212121"/>
          <w:sz w:val="24"/>
          <w:szCs w:val="24"/>
        </w:rPr>
        <w:t xml:space="preserve">criminal background checks on any marketer </w:t>
      </w:r>
      <w:r w:rsidR="00E711C7">
        <w:rPr>
          <w:rFonts w:ascii="Century Schoolbook" w:hAnsi="Century Schoolbook"/>
          <w:color w:val="212121"/>
          <w:sz w:val="24"/>
          <w:szCs w:val="24"/>
        </w:rPr>
        <w:t xml:space="preserve">conducting </w:t>
      </w:r>
      <w:r w:rsidR="00AF41C1">
        <w:rPr>
          <w:rFonts w:ascii="Century Schoolbook" w:hAnsi="Century Schoolbook"/>
          <w:color w:val="212121"/>
          <w:sz w:val="24"/>
          <w:szCs w:val="24"/>
        </w:rPr>
        <w:t>door-to-door solicitations</w:t>
      </w:r>
      <w:r w:rsidR="00645F0E">
        <w:rPr>
          <w:rFonts w:ascii="Century Schoolbook" w:hAnsi="Century Schoolbook"/>
          <w:color w:val="212121"/>
          <w:sz w:val="24"/>
          <w:szCs w:val="24"/>
        </w:rPr>
        <w:t>.</w:t>
      </w:r>
      <w:r w:rsidR="00AF41C1">
        <w:rPr>
          <w:rFonts w:ascii="Century Schoolbook" w:hAnsi="Century Schoolbook"/>
          <w:color w:val="212121"/>
          <w:sz w:val="24"/>
          <w:szCs w:val="24"/>
        </w:rPr>
        <w:t xml:space="preserve">  </w:t>
      </w:r>
      <w:r w:rsidR="00645F0E">
        <w:rPr>
          <w:rFonts w:ascii="Century Schoolbook" w:hAnsi="Century Schoolbook"/>
          <w:color w:val="212121"/>
          <w:sz w:val="24"/>
          <w:szCs w:val="24"/>
        </w:rPr>
        <w:t>Importan</w:t>
      </w:r>
      <w:r w:rsidR="00D96E70">
        <w:rPr>
          <w:rFonts w:ascii="Century Schoolbook" w:hAnsi="Century Schoolbook"/>
          <w:color w:val="212121"/>
          <w:sz w:val="24"/>
          <w:szCs w:val="24"/>
        </w:rPr>
        <w:t xml:space="preserve">tly, the bill also allows </w:t>
      </w:r>
      <w:r>
        <w:rPr>
          <w:rFonts w:ascii="Century Schoolbook" w:hAnsi="Century Schoolbook"/>
          <w:color w:val="212121"/>
          <w:sz w:val="24"/>
          <w:szCs w:val="24"/>
        </w:rPr>
        <w:t xml:space="preserve">the Public Utilities Regulatory Authority to order </w:t>
      </w:r>
      <w:r w:rsidR="00D96E70">
        <w:rPr>
          <w:rFonts w:ascii="Century Schoolbook" w:hAnsi="Century Schoolbook"/>
          <w:color w:val="212121"/>
          <w:sz w:val="24"/>
          <w:szCs w:val="24"/>
        </w:rPr>
        <w:t xml:space="preserve">electric suppliers to pay </w:t>
      </w:r>
      <w:r>
        <w:rPr>
          <w:rFonts w:ascii="Century Schoolbook" w:hAnsi="Century Schoolbook"/>
          <w:color w:val="212121"/>
          <w:sz w:val="24"/>
          <w:szCs w:val="24"/>
        </w:rPr>
        <w:t>restitution</w:t>
      </w:r>
      <w:r w:rsidR="00D96E70">
        <w:rPr>
          <w:rFonts w:ascii="Century Schoolbook" w:hAnsi="Century Schoolbook"/>
          <w:color w:val="212121"/>
          <w:sz w:val="24"/>
          <w:szCs w:val="24"/>
        </w:rPr>
        <w:t xml:space="preserve"> to their customers </w:t>
      </w:r>
      <w:r>
        <w:rPr>
          <w:rFonts w:ascii="Century Schoolbook" w:hAnsi="Century Schoolbook"/>
          <w:color w:val="212121"/>
          <w:sz w:val="24"/>
          <w:szCs w:val="24"/>
        </w:rPr>
        <w:t>upon findings of ill</w:t>
      </w:r>
      <w:r w:rsidR="00D96E70">
        <w:rPr>
          <w:rFonts w:ascii="Century Schoolbook" w:hAnsi="Century Schoolbook"/>
          <w:color w:val="212121"/>
          <w:sz w:val="24"/>
          <w:szCs w:val="24"/>
        </w:rPr>
        <w:t>egal electric supplier activity.</w:t>
      </w:r>
      <w:r>
        <w:rPr>
          <w:rFonts w:ascii="Century Schoolbook" w:hAnsi="Century Schoolbook"/>
          <w:color w:val="212121"/>
          <w:sz w:val="24"/>
          <w:szCs w:val="24"/>
        </w:rPr>
        <w:t xml:space="preserve"> </w:t>
      </w:r>
      <w:r w:rsidR="00FF49F5">
        <w:rPr>
          <w:rFonts w:ascii="Century Schoolbook" w:hAnsi="Century Schoolbook"/>
          <w:color w:val="212121"/>
          <w:sz w:val="24"/>
          <w:szCs w:val="24"/>
        </w:rPr>
        <w:t xml:space="preserve"> </w:t>
      </w:r>
    </w:p>
    <w:p w:rsidR="00E711C7" w:rsidRDefault="00E711C7" w:rsidP="009136E3">
      <w:pPr>
        <w:rPr>
          <w:rFonts w:ascii="Century Schoolbook" w:hAnsi="Century Schoolbook"/>
          <w:color w:val="212121"/>
          <w:sz w:val="24"/>
          <w:szCs w:val="24"/>
        </w:rPr>
      </w:pPr>
    </w:p>
    <w:p w:rsidR="00E711C7" w:rsidRPr="001A4143" w:rsidRDefault="00E711C7" w:rsidP="00E711C7">
      <w:pPr>
        <w:rPr>
          <w:rFonts w:ascii="Century Schoolbook" w:hAnsi="Century Schoolbook" w:cs="Times New Roman"/>
          <w:sz w:val="24"/>
          <w:szCs w:val="24"/>
        </w:rPr>
      </w:pPr>
      <w:r w:rsidRPr="001A4143">
        <w:rPr>
          <w:rFonts w:ascii="Century Schoolbook" w:hAnsi="Century Schoolbook"/>
          <w:color w:val="212121"/>
          <w:sz w:val="24"/>
          <w:szCs w:val="24"/>
        </w:rPr>
        <w:t xml:space="preserve">Consumer Counsel Katz and Attorney General Tong remind consumers that </w:t>
      </w:r>
      <w:r w:rsidR="00817840">
        <w:rPr>
          <w:rFonts w:ascii="Century Schoolbook" w:hAnsi="Century Schoolbook"/>
          <w:color w:val="212121"/>
          <w:sz w:val="24"/>
          <w:szCs w:val="24"/>
        </w:rPr>
        <w:t xml:space="preserve">no one is required to shop for electricity.  Residential consumers can always rely on </w:t>
      </w:r>
      <w:r w:rsidRPr="001A4143">
        <w:rPr>
          <w:rFonts w:ascii="Century Schoolbook" w:hAnsi="Century Schoolbook" w:cs="Times New Roman"/>
          <w:sz w:val="24"/>
          <w:szCs w:val="24"/>
        </w:rPr>
        <w:t>the standard offer rates of Eversource Energy and United Illuminating</w:t>
      </w:r>
      <w:r w:rsidR="00817840">
        <w:rPr>
          <w:rFonts w:ascii="Century Schoolbook" w:hAnsi="Century Schoolbook" w:cs="Times New Roman"/>
          <w:sz w:val="24"/>
          <w:szCs w:val="24"/>
        </w:rPr>
        <w:t>, which</w:t>
      </w:r>
      <w:r w:rsidRPr="001A4143">
        <w:rPr>
          <w:rFonts w:ascii="Century Schoolbook" w:hAnsi="Century Schoolbook" w:cs="Times New Roman"/>
          <w:sz w:val="24"/>
          <w:szCs w:val="24"/>
        </w:rPr>
        <w:t xml:space="preserve"> are set through an open and competitive process that is overseen by several state agencies, and includes no mark-up or profit for the utilities.  There is one price for every consumer, and it only changes twice a year, on January 1 and July 1.</w:t>
      </w:r>
      <w:r>
        <w:rPr>
          <w:rFonts w:ascii="Century Schoolbook" w:hAnsi="Century Schoolbook" w:cs="Times New Roman"/>
          <w:sz w:val="24"/>
          <w:szCs w:val="24"/>
        </w:rPr>
        <w:t xml:space="preserve"> </w:t>
      </w:r>
    </w:p>
    <w:p w:rsidR="00E711C7" w:rsidRDefault="00E711C7" w:rsidP="009136E3">
      <w:pPr>
        <w:rPr>
          <w:rFonts w:ascii="Century Schoolbook" w:hAnsi="Century Schoolbook"/>
          <w:color w:val="212121"/>
          <w:sz w:val="24"/>
          <w:szCs w:val="24"/>
        </w:rPr>
      </w:pPr>
    </w:p>
    <w:p w:rsidR="00BD0692" w:rsidRDefault="00BD0692" w:rsidP="00BD0692">
      <w:pPr>
        <w:rPr>
          <w:rFonts w:ascii="Century Schoolbook" w:hAnsi="Century Schoolbook"/>
          <w:sz w:val="24"/>
          <w:szCs w:val="24"/>
        </w:rPr>
      </w:pPr>
      <w:r>
        <w:rPr>
          <w:rFonts w:ascii="Century Schoolbook" w:hAnsi="Century Schoolbook"/>
          <w:sz w:val="24"/>
          <w:szCs w:val="24"/>
        </w:rPr>
        <w:t xml:space="preserve">OCC Contact: Elin Swanson Katz </w:t>
      </w:r>
    </w:p>
    <w:p w:rsidR="00BD0692" w:rsidRDefault="00BD0692" w:rsidP="00BD0692">
      <w:pPr>
        <w:rPr>
          <w:rFonts w:ascii="Century Schoolbook" w:hAnsi="Century Schoolbook"/>
          <w:sz w:val="24"/>
          <w:szCs w:val="24"/>
        </w:rPr>
      </w:pPr>
      <w:hyperlink r:id="rId8" w:history="1">
        <w:r>
          <w:rPr>
            <w:rStyle w:val="Hyperlink"/>
            <w:rFonts w:ascii="Century Schoolbook" w:hAnsi="Century Schoolbook"/>
          </w:rPr>
          <w:t>Elin.Katz@ct.gov</w:t>
        </w:r>
      </w:hyperlink>
      <w:r>
        <w:rPr>
          <w:rFonts w:ascii="Century Schoolbook" w:hAnsi="Century Schoolbook"/>
          <w:sz w:val="24"/>
          <w:szCs w:val="24"/>
        </w:rPr>
        <w:t xml:space="preserve"> </w:t>
      </w:r>
    </w:p>
    <w:p w:rsidR="00BD0692" w:rsidRDefault="00BD0692" w:rsidP="00BD0692">
      <w:pPr>
        <w:rPr>
          <w:rFonts w:ascii="Century Schoolbook" w:hAnsi="Century Schoolbook"/>
          <w:sz w:val="24"/>
          <w:szCs w:val="24"/>
        </w:rPr>
      </w:pPr>
      <w:r>
        <w:rPr>
          <w:rFonts w:ascii="Century Schoolbook" w:hAnsi="Century Schoolbook"/>
          <w:sz w:val="24"/>
          <w:szCs w:val="24"/>
        </w:rPr>
        <w:t>860-614-8424</w:t>
      </w:r>
    </w:p>
    <w:p w:rsidR="00BD0692" w:rsidRDefault="00BD0692" w:rsidP="00BD0692">
      <w:pPr>
        <w:rPr>
          <w:rFonts w:ascii="Century Schoolbook" w:hAnsi="Century Schoolbook"/>
          <w:sz w:val="24"/>
          <w:szCs w:val="24"/>
        </w:rPr>
      </w:pPr>
    </w:p>
    <w:p w:rsidR="00BD0692" w:rsidRDefault="00BD0692" w:rsidP="00BD0692">
      <w:pPr>
        <w:rPr>
          <w:rFonts w:ascii="Century Schoolbook" w:hAnsi="Century Schoolbook"/>
          <w:sz w:val="24"/>
          <w:szCs w:val="24"/>
        </w:rPr>
      </w:pPr>
      <w:r>
        <w:rPr>
          <w:rFonts w:ascii="Century Schoolbook" w:hAnsi="Century Schoolbook"/>
          <w:sz w:val="24"/>
          <w:szCs w:val="24"/>
        </w:rPr>
        <w:t>OAG Contact: Elizabeth Benton</w:t>
      </w:r>
    </w:p>
    <w:p w:rsidR="00BD0692" w:rsidRDefault="00BD0692" w:rsidP="00BD0692">
      <w:pPr>
        <w:rPr>
          <w:rFonts w:ascii="Century Schoolbook" w:hAnsi="Century Schoolbook"/>
          <w:sz w:val="24"/>
          <w:szCs w:val="24"/>
        </w:rPr>
      </w:pPr>
      <w:hyperlink r:id="rId9" w:history="1">
        <w:r>
          <w:rPr>
            <w:rStyle w:val="Hyperlink"/>
            <w:rFonts w:ascii="Century Schoolbook" w:hAnsi="Century Schoolbook"/>
          </w:rPr>
          <w:t>Elizabeth.Benton@ct.gov</w:t>
        </w:r>
      </w:hyperlink>
    </w:p>
    <w:p w:rsidR="00BD0692" w:rsidRDefault="00BD0692" w:rsidP="00BD0692">
      <w:pPr>
        <w:rPr>
          <w:rFonts w:ascii="Century Schoolbook" w:hAnsi="Century Schoolbook"/>
        </w:rPr>
      </w:pPr>
      <w:r>
        <w:rPr>
          <w:rFonts w:ascii="Century Schoolbook" w:hAnsi="Century Schoolbook"/>
          <w:sz w:val="24"/>
          <w:szCs w:val="24"/>
        </w:rPr>
        <w:t>860-808-5324</w:t>
      </w:r>
    </w:p>
    <w:p w:rsidR="00A128B8" w:rsidRPr="00D02C37" w:rsidRDefault="00A128B8" w:rsidP="009136E3">
      <w:pPr>
        <w:rPr>
          <w:rFonts w:ascii="Century Schoolbook" w:hAnsi="Century Schoolbook"/>
          <w:color w:val="212121"/>
          <w:sz w:val="24"/>
          <w:szCs w:val="24"/>
        </w:rPr>
      </w:pPr>
    </w:p>
    <w:sectPr w:rsidR="00A128B8" w:rsidRPr="00D02C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23E" w:rsidRDefault="00B8323E" w:rsidP="00D02C37">
      <w:r>
        <w:separator/>
      </w:r>
    </w:p>
  </w:endnote>
  <w:endnote w:type="continuationSeparator" w:id="0">
    <w:p w:rsidR="00B8323E" w:rsidRDefault="00B8323E" w:rsidP="00D0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23E" w:rsidRDefault="00B8323E" w:rsidP="00D02C37">
      <w:r>
        <w:separator/>
      </w:r>
    </w:p>
  </w:footnote>
  <w:footnote w:type="continuationSeparator" w:id="0">
    <w:p w:rsidR="00B8323E" w:rsidRDefault="00B8323E" w:rsidP="00D02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2A"/>
    <w:rsid w:val="000171BF"/>
    <w:rsid w:val="00041009"/>
    <w:rsid w:val="00057FBF"/>
    <w:rsid w:val="001A4143"/>
    <w:rsid w:val="002052C7"/>
    <w:rsid w:val="00245DC5"/>
    <w:rsid w:val="00267E12"/>
    <w:rsid w:val="002733A4"/>
    <w:rsid w:val="00294D4B"/>
    <w:rsid w:val="00342A9F"/>
    <w:rsid w:val="005F51C8"/>
    <w:rsid w:val="00645F0E"/>
    <w:rsid w:val="007E1F71"/>
    <w:rsid w:val="00817840"/>
    <w:rsid w:val="00830507"/>
    <w:rsid w:val="008B1B26"/>
    <w:rsid w:val="008B5871"/>
    <w:rsid w:val="009136E3"/>
    <w:rsid w:val="009570B5"/>
    <w:rsid w:val="00975B29"/>
    <w:rsid w:val="00A128B8"/>
    <w:rsid w:val="00A16E2A"/>
    <w:rsid w:val="00AF41C1"/>
    <w:rsid w:val="00B26500"/>
    <w:rsid w:val="00B8323E"/>
    <w:rsid w:val="00BC570B"/>
    <w:rsid w:val="00BD0692"/>
    <w:rsid w:val="00C22D01"/>
    <w:rsid w:val="00C876EA"/>
    <w:rsid w:val="00CC45E7"/>
    <w:rsid w:val="00CD16B3"/>
    <w:rsid w:val="00D0242E"/>
    <w:rsid w:val="00D02C37"/>
    <w:rsid w:val="00D96E70"/>
    <w:rsid w:val="00D978F3"/>
    <w:rsid w:val="00DA711B"/>
    <w:rsid w:val="00DC53D3"/>
    <w:rsid w:val="00E711C7"/>
    <w:rsid w:val="00F13E59"/>
    <w:rsid w:val="00F86198"/>
    <w:rsid w:val="00FF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E2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16E2A"/>
    <w:pPr>
      <w:ind w:left="720" w:hanging="720"/>
      <w:jc w:val="both"/>
      <w:outlineLvl w:val="1"/>
    </w:pPr>
    <w:rPr>
      <w:rFonts w:ascii="Arial" w:hAnsi="Arial" w:cs="Arial"/>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6E2A"/>
    <w:rPr>
      <w:rFonts w:ascii="Arial" w:hAnsi="Arial" w:cs="Arial"/>
      <w:b/>
      <w:bCs/>
      <w:smallCaps/>
      <w:sz w:val="24"/>
      <w:szCs w:val="24"/>
    </w:rPr>
  </w:style>
  <w:style w:type="paragraph" w:styleId="ListParagraph">
    <w:name w:val="List Paragraph"/>
    <w:basedOn w:val="Normal"/>
    <w:uiPriority w:val="34"/>
    <w:qFormat/>
    <w:rsid w:val="00A16E2A"/>
    <w:pPr>
      <w:ind w:left="720"/>
    </w:pPr>
  </w:style>
  <w:style w:type="paragraph" w:styleId="Header">
    <w:name w:val="header"/>
    <w:basedOn w:val="Normal"/>
    <w:link w:val="HeaderChar"/>
    <w:uiPriority w:val="99"/>
    <w:unhideWhenUsed/>
    <w:rsid w:val="00D02C37"/>
    <w:pPr>
      <w:tabs>
        <w:tab w:val="center" w:pos="4680"/>
        <w:tab w:val="right" w:pos="9360"/>
      </w:tabs>
    </w:pPr>
  </w:style>
  <w:style w:type="character" w:customStyle="1" w:styleId="HeaderChar">
    <w:name w:val="Header Char"/>
    <w:basedOn w:val="DefaultParagraphFont"/>
    <w:link w:val="Header"/>
    <w:uiPriority w:val="99"/>
    <w:rsid w:val="00D02C37"/>
    <w:rPr>
      <w:rFonts w:ascii="Calibri" w:hAnsi="Calibri" w:cs="Calibri"/>
    </w:rPr>
  </w:style>
  <w:style w:type="paragraph" w:styleId="Footer">
    <w:name w:val="footer"/>
    <w:basedOn w:val="Normal"/>
    <w:link w:val="FooterChar"/>
    <w:uiPriority w:val="99"/>
    <w:unhideWhenUsed/>
    <w:rsid w:val="00D02C37"/>
    <w:pPr>
      <w:tabs>
        <w:tab w:val="center" w:pos="4680"/>
        <w:tab w:val="right" w:pos="9360"/>
      </w:tabs>
    </w:pPr>
  </w:style>
  <w:style w:type="character" w:customStyle="1" w:styleId="FooterChar">
    <w:name w:val="Footer Char"/>
    <w:basedOn w:val="DefaultParagraphFont"/>
    <w:link w:val="Footer"/>
    <w:uiPriority w:val="99"/>
    <w:rsid w:val="00D02C37"/>
    <w:rPr>
      <w:rFonts w:ascii="Calibri" w:hAnsi="Calibri" w:cs="Calibri"/>
    </w:rPr>
  </w:style>
  <w:style w:type="paragraph" w:styleId="BalloonText">
    <w:name w:val="Balloon Text"/>
    <w:basedOn w:val="Normal"/>
    <w:link w:val="BalloonTextChar"/>
    <w:uiPriority w:val="99"/>
    <w:semiHidden/>
    <w:unhideWhenUsed/>
    <w:rsid w:val="00C876EA"/>
    <w:rPr>
      <w:rFonts w:ascii="Tahoma" w:hAnsi="Tahoma" w:cs="Tahoma"/>
      <w:sz w:val="16"/>
      <w:szCs w:val="16"/>
    </w:rPr>
  </w:style>
  <w:style w:type="character" w:customStyle="1" w:styleId="BalloonTextChar">
    <w:name w:val="Balloon Text Char"/>
    <w:basedOn w:val="DefaultParagraphFont"/>
    <w:link w:val="BalloonText"/>
    <w:uiPriority w:val="99"/>
    <w:semiHidden/>
    <w:rsid w:val="00C876EA"/>
    <w:rPr>
      <w:rFonts w:ascii="Tahoma" w:hAnsi="Tahoma" w:cs="Tahoma"/>
      <w:sz w:val="16"/>
      <w:szCs w:val="16"/>
    </w:rPr>
  </w:style>
  <w:style w:type="character" w:styleId="Hyperlink">
    <w:name w:val="Hyperlink"/>
    <w:basedOn w:val="DefaultParagraphFont"/>
    <w:uiPriority w:val="99"/>
    <w:semiHidden/>
    <w:unhideWhenUsed/>
    <w:rsid w:val="00BD06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E2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16E2A"/>
    <w:pPr>
      <w:ind w:left="720" w:hanging="720"/>
      <w:jc w:val="both"/>
      <w:outlineLvl w:val="1"/>
    </w:pPr>
    <w:rPr>
      <w:rFonts w:ascii="Arial" w:hAnsi="Arial" w:cs="Arial"/>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6E2A"/>
    <w:rPr>
      <w:rFonts w:ascii="Arial" w:hAnsi="Arial" w:cs="Arial"/>
      <w:b/>
      <w:bCs/>
      <w:smallCaps/>
      <w:sz w:val="24"/>
      <w:szCs w:val="24"/>
    </w:rPr>
  </w:style>
  <w:style w:type="paragraph" w:styleId="ListParagraph">
    <w:name w:val="List Paragraph"/>
    <w:basedOn w:val="Normal"/>
    <w:uiPriority w:val="34"/>
    <w:qFormat/>
    <w:rsid w:val="00A16E2A"/>
    <w:pPr>
      <w:ind w:left="720"/>
    </w:pPr>
  </w:style>
  <w:style w:type="paragraph" w:styleId="Header">
    <w:name w:val="header"/>
    <w:basedOn w:val="Normal"/>
    <w:link w:val="HeaderChar"/>
    <w:uiPriority w:val="99"/>
    <w:unhideWhenUsed/>
    <w:rsid w:val="00D02C37"/>
    <w:pPr>
      <w:tabs>
        <w:tab w:val="center" w:pos="4680"/>
        <w:tab w:val="right" w:pos="9360"/>
      </w:tabs>
    </w:pPr>
  </w:style>
  <w:style w:type="character" w:customStyle="1" w:styleId="HeaderChar">
    <w:name w:val="Header Char"/>
    <w:basedOn w:val="DefaultParagraphFont"/>
    <w:link w:val="Header"/>
    <w:uiPriority w:val="99"/>
    <w:rsid w:val="00D02C37"/>
    <w:rPr>
      <w:rFonts w:ascii="Calibri" w:hAnsi="Calibri" w:cs="Calibri"/>
    </w:rPr>
  </w:style>
  <w:style w:type="paragraph" w:styleId="Footer">
    <w:name w:val="footer"/>
    <w:basedOn w:val="Normal"/>
    <w:link w:val="FooterChar"/>
    <w:uiPriority w:val="99"/>
    <w:unhideWhenUsed/>
    <w:rsid w:val="00D02C37"/>
    <w:pPr>
      <w:tabs>
        <w:tab w:val="center" w:pos="4680"/>
        <w:tab w:val="right" w:pos="9360"/>
      </w:tabs>
    </w:pPr>
  </w:style>
  <w:style w:type="character" w:customStyle="1" w:styleId="FooterChar">
    <w:name w:val="Footer Char"/>
    <w:basedOn w:val="DefaultParagraphFont"/>
    <w:link w:val="Footer"/>
    <w:uiPriority w:val="99"/>
    <w:rsid w:val="00D02C37"/>
    <w:rPr>
      <w:rFonts w:ascii="Calibri" w:hAnsi="Calibri" w:cs="Calibri"/>
    </w:rPr>
  </w:style>
  <w:style w:type="paragraph" w:styleId="BalloonText">
    <w:name w:val="Balloon Text"/>
    <w:basedOn w:val="Normal"/>
    <w:link w:val="BalloonTextChar"/>
    <w:uiPriority w:val="99"/>
    <w:semiHidden/>
    <w:unhideWhenUsed/>
    <w:rsid w:val="00C876EA"/>
    <w:rPr>
      <w:rFonts w:ascii="Tahoma" w:hAnsi="Tahoma" w:cs="Tahoma"/>
      <w:sz w:val="16"/>
      <w:szCs w:val="16"/>
    </w:rPr>
  </w:style>
  <w:style w:type="character" w:customStyle="1" w:styleId="BalloonTextChar">
    <w:name w:val="Balloon Text Char"/>
    <w:basedOn w:val="DefaultParagraphFont"/>
    <w:link w:val="BalloonText"/>
    <w:uiPriority w:val="99"/>
    <w:semiHidden/>
    <w:rsid w:val="00C876EA"/>
    <w:rPr>
      <w:rFonts w:ascii="Tahoma" w:hAnsi="Tahoma" w:cs="Tahoma"/>
      <w:sz w:val="16"/>
      <w:szCs w:val="16"/>
    </w:rPr>
  </w:style>
  <w:style w:type="character" w:styleId="Hyperlink">
    <w:name w:val="Hyperlink"/>
    <w:basedOn w:val="DefaultParagraphFont"/>
    <w:uiPriority w:val="99"/>
    <w:semiHidden/>
    <w:unhideWhenUsed/>
    <w:rsid w:val="00BD0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48708">
      <w:bodyDiv w:val="1"/>
      <w:marLeft w:val="0"/>
      <w:marRight w:val="0"/>
      <w:marTop w:val="0"/>
      <w:marBottom w:val="0"/>
      <w:divBdr>
        <w:top w:val="none" w:sz="0" w:space="0" w:color="auto"/>
        <w:left w:val="none" w:sz="0" w:space="0" w:color="auto"/>
        <w:bottom w:val="none" w:sz="0" w:space="0" w:color="auto"/>
        <w:right w:val="none" w:sz="0" w:space="0" w:color="auto"/>
      </w:divBdr>
    </w:div>
    <w:div w:id="893195255">
      <w:bodyDiv w:val="1"/>
      <w:marLeft w:val="0"/>
      <w:marRight w:val="0"/>
      <w:marTop w:val="0"/>
      <w:marBottom w:val="0"/>
      <w:divBdr>
        <w:top w:val="none" w:sz="0" w:space="0" w:color="auto"/>
        <w:left w:val="none" w:sz="0" w:space="0" w:color="auto"/>
        <w:bottom w:val="none" w:sz="0" w:space="0" w:color="auto"/>
        <w:right w:val="none" w:sz="0" w:space="0" w:color="auto"/>
      </w:divBdr>
    </w:div>
    <w:div w:id="964314204">
      <w:bodyDiv w:val="1"/>
      <w:marLeft w:val="0"/>
      <w:marRight w:val="0"/>
      <w:marTop w:val="0"/>
      <w:marBottom w:val="0"/>
      <w:divBdr>
        <w:top w:val="none" w:sz="0" w:space="0" w:color="auto"/>
        <w:left w:val="none" w:sz="0" w:space="0" w:color="auto"/>
        <w:bottom w:val="none" w:sz="0" w:space="0" w:color="auto"/>
        <w:right w:val="none" w:sz="0" w:space="0" w:color="auto"/>
      </w:divBdr>
    </w:div>
    <w:div w:id="21433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Katz@ct.gov"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izabeth.Benton@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Benton, Elizabeth</dc:creator>
  <cp:lastModifiedBy>Melody Mendez</cp:lastModifiedBy>
  <cp:revision>3</cp:revision>
  <cp:lastPrinted>2019-04-15T14:08:00Z</cp:lastPrinted>
  <dcterms:created xsi:type="dcterms:W3CDTF">2019-04-17T16:31:00Z</dcterms:created>
  <dcterms:modified xsi:type="dcterms:W3CDTF">2019-04-17T16:31:00Z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