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E7" w:rsidRDefault="00052255" w:rsidP="001426E7">
      <w:pPr>
        <w:spacing w:line="240" w:lineRule="auto"/>
        <w:jc w:val="center"/>
        <w:rPr>
          <w:rFonts w:ascii="Times New Roman" w:hAnsi="Times New Roman" w:cs="Times New Roman"/>
          <w:sz w:val="24"/>
          <w:szCs w:val="24"/>
        </w:rPr>
      </w:pPr>
      <w:bookmarkStart w:id="0" w:name="_GoBack"/>
      <w:bookmarkEnd w:id="0"/>
      <w:r>
        <w:rPr>
          <w:noProof/>
        </w:rPr>
        <w:drawing>
          <wp:inline distT="0" distB="0" distL="0" distR="0" wp14:anchorId="00CC052B" wp14:editId="2DEEFA4B">
            <wp:extent cx="976893" cy="914400"/>
            <wp:effectExtent l="0" t="0" r="0"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955" cy="921946"/>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A54E14" w:rsidP="001426E7">
      <w:pPr>
        <w:spacing w:line="240" w:lineRule="auto"/>
        <w:rPr>
          <w:rFonts w:ascii="Times New Roman" w:hAnsi="Times New Roman" w:cs="Times New Roman"/>
        </w:rPr>
      </w:pPr>
      <w:r>
        <w:rPr>
          <w:rFonts w:ascii="Times New Roman" w:hAnsi="Times New Roman" w:cs="Times New Roman"/>
        </w:rPr>
        <w:t>March 8</w:t>
      </w:r>
      <w:r w:rsidR="00C73FC7">
        <w:rPr>
          <w:rFonts w:ascii="Times New Roman" w:hAnsi="Times New Roman" w:cs="Times New Roman"/>
        </w:rPr>
        <w:t>, 201</w:t>
      </w:r>
      <w:r w:rsidR="00287796">
        <w:rPr>
          <w:rFonts w:ascii="Times New Roman" w:hAnsi="Times New Roman" w:cs="Times New Roman"/>
        </w:rPr>
        <w:t>9</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D21793">
        <w:rPr>
          <w:rFonts w:ascii="Times New Roman" w:hAnsi="Times New Roman" w:cs="Times New Roman"/>
          <w:b/>
          <w:sz w:val="32"/>
          <w:szCs w:val="32"/>
        </w:rPr>
        <w:t>MARCH</w:t>
      </w:r>
      <w:r w:rsidR="00287796">
        <w:rPr>
          <w:rFonts w:ascii="Times New Roman" w:hAnsi="Times New Roman" w:cs="Times New Roman"/>
          <w:b/>
          <w:sz w:val="32"/>
          <w:szCs w:val="32"/>
        </w:rPr>
        <w:t xml:space="preserve"> </w:t>
      </w:r>
      <w:r w:rsidR="00DA0688">
        <w:rPr>
          <w:rFonts w:ascii="Times New Roman" w:hAnsi="Times New Roman" w:cs="Times New Roman"/>
          <w:b/>
          <w:sz w:val="32"/>
          <w:szCs w:val="32"/>
        </w:rPr>
        <w:t>2018</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D21793">
        <w:rPr>
          <w:rFonts w:ascii="Times New Roman" w:hAnsi="Times New Roman" w:cs="Times New Roman"/>
          <w:b/>
          <w:sz w:val="32"/>
          <w:szCs w:val="32"/>
        </w:rPr>
        <w:t>FEBRUARY</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10" w:history="1">
        <w:r w:rsidRPr="004E75C5">
          <w:rPr>
            <w:rStyle w:val="Hyperlink"/>
            <w:rFonts w:ascii="Times New Roman" w:hAnsi="Times New Roman" w:cs="Times New Roman"/>
            <w:sz w:val="24"/>
            <w:szCs w:val="24"/>
          </w:rPr>
          <w:t>2014</w:t>
        </w:r>
      </w:hyperlink>
      <w:r w:rsidR="00223E3A">
        <w:rPr>
          <w:rFonts w:ascii="Times New Roman" w:hAnsi="Times New Roman" w:cs="Times New Roman"/>
          <w:sz w:val="24"/>
          <w:szCs w:val="24"/>
        </w:rPr>
        <w:t xml:space="preserve">. </w:t>
      </w:r>
      <w:r w:rsidR="00381FF0">
        <w:rPr>
          <w:rFonts w:ascii="Times New Roman" w:hAnsi="Times New Roman" w:cs="Times New Roman"/>
          <w:sz w:val="24"/>
          <w:szCs w:val="24"/>
        </w:rPr>
        <w:t>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3C4093">
        <w:rPr>
          <w:rFonts w:ascii="Times New Roman" w:hAnsi="Times New Roman" w:cs="Times New Roman"/>
          <w:sz w:val="24"/>
          <w:szCs w:val="24"/>
        </w:rPr>
        <w:t>3.7</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21793">
        <w:rPr>
          <w:rFonts w:ascii="Times New Roman" w:hAnsi="Times New Roman" w:cs="Times New Roman"/>
          <w:sz w:val="24"/>
          <w:szCs w:val="24"/>
        </w:rPr>
        <w:t>30</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D21793">
        <w:rPr>
          <w:rFonts w:ascii="Times New Roman" w:hAnsi="Times New Roman" w:cs="Times New Roman"/>
          <w:sz w:val="24"/>
          <w:szCs w:val="24"/>
        </w:rPr>
        <w:t>February</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D21793">
        <w:rPr>
          <w:rFonts w:ascii="Times New Roman" w:hAnsi="Times New Roman" w:cs="Times New Roman"/>
          <w:sz w:val="24"/>
          <w:szCs w:val="24"/>
        </w:rPr>
        <w:t>February</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225AF8">
        <w:rPr>
          <w:rFonts w:ascii="Times New Roman" w:hAnsi="Times New Roman" w:cs="Times New Roman"/>
          <w:sz w:val="24"/>
          <w:szCs w:val="24"/>
        </w:rPr>
        <w:t xml:space="preserve"> </w:t>
      </w:r>
      <w:r w:rsidR="003C4093">
        <w:rPr>
          <w:rFonts w:ascii="Times New Roman" w:hAnsi="Times New Roman" w:cs="Times New Roman"/>
          <w:sz w:val="24"/>
          <w:szCs w:val="24"/>
        </w:rPr>
        <w:t xml:space="preserve">over </w:t>
      </w:r>
      <w:r w:rsidR="003C4093">
        <w:rPr>
          <w:rFonts w:ascii="Times New Roman" w:hAnsi="Times New Roman" w:cs="Times New Roman"/>
          <w:b/>
          <w:sz w:val="24"/>
          <w:szCs w:val="24"/>
        </w:rPr>
        <w:t xml:space="preserve">four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3C4093">
        <w:rPr>
          <w:rFonts w:ascii="Times New Roman" w:hAnsi="Times New Roman" w:cs="Times New Roman"/>
          <w:b/>
          <w:sz w:val="24"/>
          <w:szCs w:val="24"/>
        </w:rPr>
        <w:t>four</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D21793">
        <w:rPr>
          <w:rFonts w:ascii="Times New Roman" w:hAnsi="Times New Roman" w:cs="Times New Roman"/>
          <w:noProof/>
          <w:sz w:val="24"/>
          <w:szCs w:val="24"/>
        </w:rPr>
        <w:drawing>
          <wp:inline distT="0" distB="0" distL="0" distR="0" wp14:anchorId="10AF18BF">
            <wp:extent cx="2595511"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9187" cy="1783698"/>
                    </a:xfrm>
                    <a:prstGeom prst="rect">
                      <a:avLst/>
                    </a:prstGeom>
                    <a:noFill/>
                  </pic:spPr>
                </pic:pic>
              </a:graphicData>
            </a:graphic>
          </wp:inline>
        </w:drawing>
      </w:r>
      <w:r>
        <w:rPr>
          <w:rFonts w:ascii="Times New Roman" w:hAnsi="Times New Roman" w:cs="Times New Roman"/>
          <w:sz w:val="24"/>
          <w:szCs w:val="24"/>
        </w:rPr>
        <w:t xml:space="preserve"> </w:t>
      </w:r>
      <w:r w:rsidR="00D21793">
        <w:rPr>
          <w:rFonts w:ascii="Times New Roman" w:hAnsi="Times New Roman" w:cs="Times New Roman"/>
          <w:noProof/>
          <w:sz w:val="24"/>
          <w:szCs w:val="24"/>
        </w:rPr>
        <w:drawing>
          <wp:inline distT="0" distB="0" distL="0" distR="0" wp14:anchorId="3485918E">
            <wp:extent cx="2562588" cy="1771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7482" cy="1775034"/>
                    </a:xfrm>
                    <a:prstGeom prst="rect">
                      <a:avLst/>
                    </a:prstGeom>
                    <a:noFill/>
                  </pic:spPr>
                </pic:pic>
              </a:graphicData>
            </a:graphic>
          </wp:inline>
        </w:drawing>
      </w:r>
    </w:p>
    <w:p w:rsidR="000437C4" w:rsidRDefault="0010750F" w:rsidP="00FF56EB">
      <w:pPr>
        <w:pStyle w:val="BodyText2"/>
        <w:numPr>
          <w:ilvl w:val="0"/>
          <w:numId w:val="1"/>
        </w:numPr>
        <w:spacing w:line="240" w:lineRule="auto"/>
      </w:pPr>
      <w:r w:rsidRPr="00E45CF4">
        <w:t xml:space="preserve">In the month </w:t>
      </w:r>
      <w:r w:rsidR="00D21793">
        <w:t>February</w:t>
      </w:r>
      <w:r w:rsidR="003C4093">
        <w:t xml:space="preserve"> 2019</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D21793">
        <w:rPr>
          <w:b/>
        </w:rPr>
        <w:t>987,239</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uppliers saved</w:t>
      </w:r>
      <w:r w:rsidR="00503EC9" w:rsidRPr="00E45CF4">
        <w:t xml:space="preserve"> </w:t>
      </w:r>
      <w:r w:rsidR="000301D8" w:rsidRPr="00E45CF4">
        <w:t xml:space="preserve">in aggregate </w:t>
      </w:r>
      <w:r w:rsidR="00FF56EB" w:rsidRPr="00FF56EB">
        <w:rPr>
          <w:b/>
        </w:rPr>
        <w:t>$</w:t>
      </w:r>
      <w:r w:rsidR="00D21793">
        <w:rPr>
          <w:b/>
        </w:rPr>
        <w:t>84,510</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rsidR="00FF56EB" w:rsidRPr="00E45CF4" w:rsidRDefault="00893E99" w:rsidP="00FF56EB">
      <w:pPr>
        <w:pStyle w:val="BodyText2"/>
        <w:numPr>
          <w:ilvl w:val="0"/>
          <w:numId w:val="1"/>
        </w:numPr>
        <w:spacing w:line="240" w:lineRule="auto"/>
      </w:pPr>
      <w:r>
        <w:t>For the rolling year</w:t>
      </w:r>
      <w:r w:rsidR="00FF56EB">
        <w:t xml:space="preserve"> of </w:t>
      </w:r>
      <w:r w:rsidR="00D21793">
        <w:t>March</w:t>
      </w:r>
      <w:r w:rsidR="00DA0688">
        <w:t xml:space="preserve"> 2018</w:t>
      </w:r>
      <w:r w:rsidR="00A40E13">
        <w:t xml:space="preserve"> </w:t>
      </w:r>
      <w:r w:rsidR="00D8760E">
        <w:t xml:space="preserve">through </w:t>
      </w:r>
      <w:r w:rsidR="00D21793">
        <w:t>February</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BE4A6A">
        <w:rPr>
          <w:b/>
        </w:rPr>
        <w:t>3</w:t>
      </w:r>
      <w:r w:rsidR="00D21793">
        <w:rPr>
          <w:b/>
        </w:rPr>
        <w:t>6,553,472</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rsidR="001071BD" w:rsidRDefault="00C63F72" w:rsidP="00BF48D0">
      <w:pPr>
        <w:pStyle w:val="BodyText2"/>
        <w:numPr>
          <w:ilvl w:val="0"/>
          <w:numId w:val="1"/>
        </w:numPr>
        <w:spacing w:line="240" w:lineRule="auto"/>
      </w:pPr>
      <w:r>
        <w:t xml:space="preserve">From </w:t>
      </w:r>
      <w:r w:rsidR="00D22046">
        <w:t xml:space="preserve">January 1, 2018 through June 30, 2018, </w:t>
      </w:r>
      <w:r>
        <w:t>the Standard Offer for Eversource customers was</w:t>
      </w:r>
      <w:r w:rsidR="00D22046">
        <w:t xml:space="preserve"> 9.078 cents/kWh</w:t>
      </w:r>
      <w:r>
        <w:t xml:space="preserve">.  The Standard Offer for Eversource customers from July </w:t>
      </w:r>
      <w:r>
        <w:lastRenderedPageBreak/>
        <w:t>1, 2018 through December 31, 2018 is 8.53 cents/kWh.</w:t>
      </w:r>
      <w:r w:rsidR="00294FB0">
        <w:t xml:space="preserve">  From January 1, 2019 through June 30, 2019, the Standard Offer for Eversource customers is 10.143 cents/kWh.</w:t>
      </w:r>
    </w:p>
    <w:p w:rsidR="00C63F72" w:rsidRDefault="00C63F72" w:rsidP="00C63F72">
      <w:pPr>
        <w:pStyle w:val="BodyText2"/>
        <w:numPr>
          <w:ilvl w:val="0"/>
          <w:numId w:val="1"/>
        </w:numPr>
        <w:spacing w:line="240" w:lineRule="auto"/>
      </w:pPr>
      <w:r>
        <w:t>From January 1, 2018 through June 30, 2018, the Standard Offer for UI customers was 9.66 cents/kWh.  The Standard Offer for UI customers from July 1, 2018 through December 31, 2018 is 9.04 cents/kWh.</w:t>
      </w:r>
      <w:r w:rsidR="00294FB0" w:rsidRPr="00294FB0">
        <w:t xml:space="preserve"> </w:t>
      </w:r>
      <w:r w:rsidR="00294FB0">
        <w:t>From January 1, 2019 through June 30, 2019, the Standard Offer for UI customers was 11.2263 cents/kWh.</w:t>
      </w:r>
    </w:p>
    <w:p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896C3B">
        <w:t>12.79</w:t>
      </w:r>
      <w:r>
        <w:t xml:space="preserve"> cents/kWh (50% higher than Eversource standard service) or </w:t>
      </w:r>
      <w:r w:rsidR="00896C3B">
        <w:t>13.57</w:t>
      </w:r>
      <w:r>
        <w:t xml:space="preserve"> cents/kWh (50% higher than UI standard servi</w:t>
      </w:r>
      <w:r w:rsidR="00896C3B">
        <w:t xml:space="preserve">ce) or more in the month of </w:t>
      </w:r>
      <w:r w:rsidR="00D21793">
        <w:t>February</w:t>
      </w:r>
      <w:r>
        <w:t>.  The phone numbers for each supplier are taken from those listed at energizect.com or the website for that supplier.</w:t>
      </w:r>
    </w:p>
    <w:p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rsidTr="00FB362D">
        <w:trPr>
          <w:trHeight w:val="394"/>
        </w:trPr>
        <w:tc>
          <w:tcPr>
            <w:tcW w:w="8871" w:type="dxa"/>
            <w:gridSpan w:val="4"/>
          </w:tcPr>
          <w:p w:rsidR="00FB362D" w:rsidRPr="007A2A0C" w:rsidRDefault="00FB362D" w:rsidP="00D21793">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D21793">
              <w:rPr>
                <w:b/>
              </w:rPr>
              <w:t>February</w:t>
            </w:r>
          </w:p>
        </w:tc>
      </w:tr>
      <w:tr w:rsidR="00FB362D" w:rsidTr="00FB362D">
        <w:trPr>
          <w:trHeight w:val="954"/>
        </w:trPr>
        <w:tc>
          <w:tcPr>
            <w:tcW w:w="3888" w:type="dxa"/>
          </w:tcPr>
          <w:p w:rsidR="00FB362D" w:rsidRDefault="00FB362D" w:rsidP="00FB362D">
            <w:pPr>
              <w:pStyle w:val="BodyText2"/>
            </w:pPr>
            <w:r>
              <w:t>Electric Suppliers</w:t>
            </w:r>
          </w:p>
        </w:tc>
        <w:tc>
          <w:tcPr>
            <w:tcW w:w="1710" w:type="dxa"/>
          </w:tcPr>
          <w:p w:rsidR="00FB362D" w:rsidRDefault="00FB362D" w:rsidP="0053038C">
            <w:pPr>
              <w:pStyle w:val="BodyText2"/>
            </w:pPr>
            <w:r>
              <w:t>% of Eversou</w:t>
            </w:r>
            <w:r w:rsidR="0031017D">
              <w:t xml:space="preserve">rce Customers paying over </w:t>
            </w:r>
            <w:r w:rsidR="0053038C">
              <w:t>15.2145</w:t>
            </w:r>
            <w:r>
              <w:t xml:space="preserve"> cents</w:t>
            </w:r>
          </w:p>
        </w:tc>
        <w:tc>
          <w:tcPr>
            <w:tcW w:w="1543" w:type="dxa"/>
          </w:tcPr>
          <w:p w:rsidR="00FB362D" w:rsidRDefault="00FB362D" w:rsidP="0053038C">
            <w:pPr>
              <w:pStyle w:val="BodyText2"/>
            </w:pPr>
            <w:r>
              <w:t>% of</w:t>
            </w:r>
            <w:r w:rsidR="0031017D">
              <w:t xml:space="preserve"> UI Customers paying over </w:t>
            </w:r>
            <w:r w:rsidR="0053038C">
              <w:t>16.8395</w:t>
            </w:r>
            <w:r>
              <w:t xml:space="preserve"> cents</w:t>
            </w:r>
          </w:p>
        </w:tc>
        <w:tc>
          <w:tcPr>
            <w:tcW w:w="1730" w:type="dxa"/>
          </w:tcPr>
          <w:p w:rsidR="00FB362D" w:rsidRDefault="00FB362D" w:rsidP="00FB362D">
            <w:pPr>
              <w:pStyle w:val="BodyText2"/>
            </w:pPr>
            <w:r>
              <w:t>Supplier Phone Number</w:t>
            </w:r>
          </w:p>
        </w:tc>
      </w:tr>
      <w:tr w:rsidR="00FB362D" w:rsidTr="00FB362D">
        <w:trPr>
          <w:trHeight w:val="394"/>
        </w:trPr>
        <w:tc>
          <w:tcPr>
            <w:tcW w:w="3888" w:type="dxa"/>
          </w:tcPr>
          <w:p w:rsidR="00FB362D" w:rsidRDefault="00FB362D" w:rsidP="00FB362D">
            <w:pPr>
              <w:pStyle w:val="BodyText2"/>
            </w:pPr>
            <w:r>
              <w:t>Choice Energy</w:t>
            </w:r>
          </w:p>
        </w:tc>
        <w:tc>
          <w:tcPr>
            <w:tcW w:w="1710" w:type="dxa"/>
          </w:tcPr>
          <w:p w:rsidR="00FB362D" w:rsidRDefault="00566C3A" w:rsidP="00626D67">
            <w:pPr>
              <w:pStyle w:val="BodyText2"/>
            </w:pPr>
            <w:r>
              <w:t>3</w:t>
            </w:r>
            <w:r w:rsidR="00DA0688">
              <w:t>8.</w:t>
            </w:r>
            <w:r w:rsidR="00626D67">
              <w:t>38</w:t>
            </w:r>
            <w:r w:rsidR="00FB362D">
              <w:t>%</w:t>
            </w:r>
          </w:p>
        </w:tc>
        <w:tc>
          <w:tcPr>
            <w:tcW w:w="1543" w:type="dxa"/>
          </w:tcPr>
          <w:p w:rsidR="00FB362D" w:rsidRDefault="00287796" w:rsidP="00626D67">
            <w:pPr>
              <w:pStyle w:val="BodyText2"/>
            </w:pPr>
            <w:r>
              <w:t>4</w:t>
            </w:r>
            <w:r w:rsidR="00B922E5">
              <w:t>3.</w:t>
            </w:r>
            <w:r w:rsidR="00626D67">
              <w:t>37</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2F2F2"/>
              </w:rPr>
              <w:t>(888) 565-4490</w:t>
            </w:r>
          </w:p>
        </w:tc>
      </w:tr>
      <w:tr w:rsidR="00FB362D" w:rsidTr="00FB362D">
        <w:trPr>
          <w:trHeight w:val="394"/>
        </w:trPr>
        <w:tc>
          <w:tcPr>
            <w:tcW w:w="3888" w:type="dxa"/>
          </w:tcPr>
          <w:p w:rsidR="00FB362D" w:rsidRDefault="00FB362D" w:rsidP="00FB362D">
            <w:pPr>
              <w:pStyle w:val="BodyText2"/>
            </w:pPr>
            <w:r>
              <w:t>Energy Plus Holdings, LLC</w:t>
            </w:r>
          </w:p>
        </w:tc>
        <w:tc>
          <w:tcPr>
            <w:tcW w:w="1710" w:type="dxa"/>
          </w:tcPr>
          <w:p w:rsidR="00FB362D" w:rsidRDefault="0053038C" w:rsidP="00626D67">
            <w:pPr>
              <w:pStyle w:val="BodyText2"/>
            </w:pPr>
            <w:r>
              <w:t>61.</w:t>
            </w:r>
            <w:r w:rsidR="00626D67">
              <w:t>65</w:t>
            </w:r>
            <w:r w:rsidR="00FB362D">
              <w:t>%</w:t>
            </w:r>
          </w:p>
        </w:tc>
        <w:tc>
          <w:tcPr>
            <w:tcW w:w="1543" w:type="dxa"/>
          </w:tcPr>
          <w:p w:rsidR="00FB362D" w:rsidRDefault="00626D67" w:rsidP="00DA0688">
            <w:pPr>
              <w:pStyle w:val="BodyText2"/>
            </w:pPr>
            <w:r>
              <w:t>62.88</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FFFFF"/>
              </w:rPr>
              <w:t>(888) 766-3509</w:t>
            </w:r>
          </w:p>
        </w:tc>
      </w:tr>
      <w:tr w:rsidR="00626D67" w:rsidTr="00FB362D">
        <w:trPr>
          <w:trHeight w:val="394"/>
        </w:trPr>
        <w:tc>
          <w:tcPr>
            <w:tcW w:w="3888" w:type="dxa"/>
          </w:tcPr>
          <w:p w:rsidR="00626D67" w:rsidRDefault="00626D67" w:rsidP="00FB362D">
            <w:pPr>
              <w:pStyle w:val="BodyText2"/>
            </w:pPr>
            <w:r>
              <w:t>North American Power and Gas LLC</w:t>
            </w:r>
          </w:p>
        </w:tc>
        <w:tc>
          <w:tcPr>
            <w:tcW w:w="1710" w:type="dxa"/>
          </w:tcPr>
          <w:p w:rsidR="00626D67" w:rsidRDefault="00626D67" w:rsidP="00626D67">
            <w:pPr>
              <w:pStyle w:val="BodyText2"/>
            </w:pPr>
            <w:r>
              <w:t>33.65%</w:t>
            </w:r>
          </w:p>
        </w:tc>
        <w:tc>
          <w:tcPr>
            <w:tcW w:w="1543" w:type="dxa"/>
          </w:tcPr>
          <w:p w:rsidR="00626D67" w:rsidRDefault="00626D67" w:rsidP="00DA0688">
            <w:pPr>
              <w:pStyle w:val="BodyText2"/>
            </w:pPr>
            <w:r>
              <w:t>N/A</w:t>
            </w:r>
          </w:p>
        </w:tc>
        <w:tc>
          <w:tcPr>
            <w:tcW w:w="1730" w:type="dxa"/>
            <w:shd w:val="clear" w:color="auto" w:fill="auto"/>
          </w:tcPr>
          <w:p w:rsidR="00626D67" w:rsidRPr="00BE6412" w:rsidRDefault="00626D67" w:rsidP="00FB362D">
            <w:pPr>
              <w:pStyle w:val="BodyText2"/>
              <w:rPr>
                <w:sz w:val="22"/>
                <w:szCs w:val="22"/>
                <w:shd w:val="clear" w:color="auto" w:fill="FFFFFF"/>
              </w:rPr>
            </w:pPr>
            <w:r w:rsidRPr="00626D67">
              <w:rPr>
                <w:sz w:val="22"/>
                <w:szCs w:val="22"/>
                <w:shd w:val="clear" w:color="auto" w:fill="FFFFFF"/>
              </w:rPr>
              <w:t>(877) 572-0442</w:t>
            </w:r>
          </w:p>
        </w:tc>
      </w:tr>
    </w:tbl>
    <w:p w:rsidR="00FB362D" w:rsidRDefault="00FB362D" w:rsidP="00212B64">
      <w:pPr>
        <w:pStyle w:val="BodyText2"/>
        <w:spacing w:line="240" w:lineRule="auto"/>
        <w:ind w:left="720"/>
      </w:pPr>
    </w:p>
    <w:p w:rsidR="00B73D42" w:rsidRPr="00E45CF4" w:rsidRDefault="00B73D42" w:rsidP="00286A09">
      <w:pPr>
        <w:pStyle w:val="BodyText2"/>
        <w:spacing w:after="0" w:line="240" w:lineRule="auto"/>
      </w:pPr>
    </w:p>
    <w:p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3" w:history="1">
        <w:r w:rsidR="003E665C" w:rsidRPr="001114A7">
          <w:rPr>
            <w:rStyle w:val="Hyperlink"/>
          </w:rPr>
          <w:t>occ.info@ct.gov</w:t>
        </w:r>
      </w:hyperlink>
      <w:r w:rsidR="001A585A">
        <w:t xml:space="preserve"> </w:t>
      </w:r>
      <w:r w:rsidR="007A7A82" w:rsidRPr="00E45CF4">
        <w:t>if you have any questions about this information.</w:t>
      </w:r>
    </w:p>
    <w:p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93" w:rsidRDefault="00D21793" w:rsidP="0010750F">
      <w:pPr>
        <w:spacing w:line="240" w:lineRule="auto"/>
      </w:pPr>
      <w:r>
        <w:separator/>
      </w:r>
    </w:p>
  </w:endnote>
  <w:endnote w:type="continuationSeparator" w:id="0">
    <w:p w:rsidR="00D21793" w:rsidRDefault="00D21793"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93" w:rsidRDefault="00D21793" w:rsidP="0010750F">
      <w:pPr>
        <w:spacing w:line="240" w:lineRule="auto"/>
      </w:pPr>
      <w:r>
        <w:separator/>
      </w:r>
    </w:p>
  </w:footnote>
  <w:footnote w:type="continuationSeparator" w:id="0">
    <w:p w:rsidR="00D21793" w:rsidRDefault="00D21793" w:rsidP="0010750F">
      <w:pPr>
        <w:spacing w:line="240" w:lineRule="auto"/>
      </w:pPr>
      <w:r>
        <w:continuationSeparator/>
      </w:r>
    </w:p>
  </w:footnote>
  <w:footnote w:id="1">
    <w:p w:rsidR="00D21793" w:rsidRDefault="00D21793">
      <w:pPr>
        <w:pStyle w:val="FootnoteText"/>
      </w:pPr>
    </w:p>
    <w:p w:rsidR="00D21793" w:rsidRDefault="00D21793">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rsidR="00D21793" w:rsidRDefault="00D21793">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81"/>
    <w:rsid w:val="0000043E"/>
    <w:rsid w:val="00007499"/>
    <w:rsid w:val="00016099"/>
    <w:rsid w:val="000218D5"/>
    <w:rsid w:val="00025130"/>
    <w:rsid w:val="000254FB"/>
    <w:rsid w:val="000301D8"/>
    <w:rsid w:val="00032363"/>
    <w:rsid w:val="000437C4"/>
    <w:rsid w:val="00052255"/>
    <w:rsid w:val="00076478"/>
    <w:rsid w:val="0009501F"/>
    <w:rsid w:val="000B2780"/>
    <w:rsid w:val="000C0CA9"/>
    <w:rsid w:val="000D5989"/>
    <w:rsid w:val="000E7045"/>
    <w:rsid w:val="000F67C5"/>
    <w:rsid w:val="001071BD"/>
    <w:rsid w:val="0010750F"/>
    <w:rsid w:val="001114A7"/>
    <w:rsid w:val="00115249"/>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3E3A"/>
    <w:rsid w:val="00225AF8"/>
    <w:rsid w:val="0024192A"/>
    <w:rsid w:val="00255C97"/>
    <w:rsid w:val="002567FA"/>
    <w:rsid w:val="00262073"/>
    <w:rsid w:val="0028106C"/>
    <w:rsid w:val="00284AD2"/>
    <w:rsid w:val="00286A09"/>
    <w:rsid w:val="00287796"/>
    <w:rsid w:val="00294FB0"/>
    <w:rsid w:val="002967A9"/>
    <w:rsid w:val="002F528A"/>
    <w:rsid w:val="00300222"/>
    <w:rsid w:val="003063A2"/>
    <w:rsid w:val="0030740D"/>
    <w:rsid w:val="0031017D"/>
    <w:rsid w:val="00324D56"/>
    <w:rsid w:val="00335D19"/>
    <w:rsid w:val="00341653"/>
    <w:rsid w:val="003472ED"/>
    <w:rsid w:val="00353549"/>
    <w:rsid w:val="00380DE2"/>
    <w:rsid w:val="00381FF0"/>
    <w:rsid w:val="003864B4"/>
    <w:rsid w:val="00386D1A"/>
    <w:rsid w:val="003A0017"/>
    <w:rsid w:val="003A535E"/>
    <w:rsid w:val="003C4093"/>
    <w:rsid w:val="003D3AF0"/>
    <w:rsid w:val="003E2906"/>
    <w:rsid w:val="003E665C"/>
    <w:rsid w:val="003F024D"/>
    <w:rsid w:val="003F4FBC"/>
    <w:rsid w:val="003F6679"/>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66C3A"/>
    <w:rsid w:val="00571FB4"/>
    <w:rsid w:val="005725A0"/>
    <w:rsid w:val="00572C5E"/>
    <w:rsid w:val="005818B0"/>
    <w:rsid w:val="00582A55"/>
    <w:rsid w:val="005A0F74"/>
    <w:rsid w:val="005C351F"/>
    <w:rsid w:val="005C4B48"/>
    <w:rsid w:val="005D07FE"/>
    <w:rsid w:val="005D209C"/>
    <w:rsid w:val="005D748C"/>
    <w:rsid w:val="005E0D4E"/>
    <w:rsid w:val="005E301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49EA"/>
    <w:rsid w:val="00773779"/>
    <w:rsid w:val="0078663D"/>
    <w:rsid w:val="00794190"/>
    <w:rsid w:val="007942D4"/>
    <w:rsid w:val="007A2A0C"/>
    <w:rsid w:val="007A541E"/>
    <w:rsid w:val="007A7A82"/>
    <w:rsid w:val="007A7CCB"/>
    <w:rsid w:val="007B6B27"/>
    <w:rsid w:val="007C39EA"/>
    <w:rsid w:val="007C4793"/>
    <w:rsid w:val="007E6ECF"/>
    <w:rsid w:val="008012D0"/>
    <w:rsid w:val="00807F10"/>
    <w:rsid w:val="00815325"/>
    <w:rsid w:val="00815B50"/>
    <w:rsid w:val="0084624F"/>
    <w:rsid w:val="00856234"/>
    <w:rsid w:val="00881C18"/>
    <w:rsid w:val="00882477"/>
    <w:rsid w:val="008866FD"/>
    <w:rsid w:val="00893E99"/>
    <w:rsid w:val="00896C3B"/>
    <w:rsid w:val="008A01B1"/>
    <w:rsid w:val="008B063B"/>
    <w:rsid w:val="008B1E11"/>
    <w:rsid w:val="008B2017"/>
    <w:rsid w:val="008C2FF1"/>
    <w:rsid w:val="008D4FD2"/>
    <w:rsid w:val="008E699B"/>
    <w:rsid w:val="0091035F"/>
    <w:rsid w:val="00917FA3"/>
    <w:rsid w:val="00921AEF"/>
    <w:rsid w:val="009345E9"/>
    <w:rsid w:val="00944B7B"/>
    <w:rsid w:val="0094653B"/>
    <w:rsid w:val="00954173"/>
    <w:rsid w:val="00962C2B"/>
    <w:rsid w:val="009642E5"/>
    <w:rsid w:val="00973CFE"/>
    <w:rsid w:val="00974BD9"/>
    <w:rsid w:val="009A6C77"/>
    <w:rsid w:val="009D331F"/>
    <w:rsid w:val="009E7D61"/>
    <w:rsid w:val="009F1438"/>
    <w:rsid w:val="00A0672C"/>
    <w:rsid w:val="00A17D7C"/>
    <w:rsid w:val="00A21B14"/>
    <w:rsid w:val="00A3249A"/>
    <w:rsid w:val="00A40E13"/>
    <w:rsid w:val="00A443D3"/>
    <w:rsid w:val="00A46677"/>
    <w:rsid w:val="00A54E14"/>
    <w:rsid w:val="00A644D0"/>
    <w:rsid w:val="00A723B5"/>
    <w:rsid w:val="00A81486"/>
    <w:rsid w:val="00AB2EED"/>
    <w:rsid w:val="00AD2FB2"/>
    <w:rsid w:val="00AD7A01"/>
    <w:rsid w:val="00AF03C6"/>
    <w:rsid w:val="00B0258A"/>
    <w:rsid w:val="00B04F95"/>
    <w:rsid w:val="00B06E50"/>
    <w:rsid w:val="00B30C0C"/>
    <w:rsid w:val="00B30D91"/>
    <w:rsid w:val="00B365B9"/>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3F72"/>
    <w:rsid w:val="00C6524F"/>
    <w:rsid w:val="00C71B69"/>
    <w:rsid w:val="00C7362A"/>
    <w:rsid w:val="00C73FC7"/>
    <w:rsid w:val="00C74362"/>
    <w:rsid w:val="00C9207D"/>
    <w:rsid w:val="00CA6FAE"/>
    <w:rsid w:val="00CB0C81"/>
    <w:rsid w:val="00CB1279"/>
    <w:rsid w:val="00CB1ECD"/>
    <w:rsid w:val="00CB5C7F"/>
    <w:rsid w:val="00CB7417"/>
    <w:rsid w:val="00CC1CAB"/>
    <w:rsid w:val="00CD0EEB"/>
    <w:rsid w:val="00CE74C8"/>
    <w:rsid w:val="00D0374F"/>
    <w:rsid w:val="00D21793"/>
    <w:rsid w:val="00D22046"/>
    <w:rsid w:val="00D23C88"/>
    <w:rsid w:val="00D46DE4"/>
    <w:rsid w:val="00D6013A"/>
    <w:rsid w:val="00D640FB"/>
    <w:rsid w:val="00D71F97"/>
    <w:rsid w:val="00D82E95"/>
    <w:rsid w:val="00D8760E"/>
    <w:rsid w:val="00D92272"/>
    <w:rsid w:val="00D95C17"/>
    <w:rsid w:val="00DA0688"/>
    <w:rsid w:val="00DA14E6"/>
    <w:rsid w:val="00DD3E9D"/>
    <w:rsid w:val="00DF60A1"/>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c.info@c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t.gov/occ/lib/occ/occ_files_testimony_regarding_electric_suppliers_in_pura_docket_no__13-07-1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8213-D9BF-4F91-A5C5-DD7323AB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2512</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5</cp:revision>
  <cp:lastPrinted>2016-04-11T12:41:00Z</cp:lastPrinted>
  <dcterms:created xsi:type="dcterms:W3CDTF">2019-04-09T15:52:00Z</dcterms:created>
  <dcterms:modified xsi:type="dcterms:W3CDTF">2019-04-09T15:53:00Z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