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D74" w:rsidRDefault="00A91931" w:rsidP="00EA29BF">
      <w:pPr>
        <w:spacing w:after="0" w:line="240" w:lineRule="auto"/>
        <w:jc w:val="center"/>
      </w:pPr>
      <w:bookmarkStart w:id="0" w:name="_GoBack"/>
      <w:bookmarkEnd w:id="0"/>
      <w:r>
        <w:rPr>
          <w:i/>
          <w:noProof/>
        </w:rPr>
        <w:drawing>
          <wp:inline distT="0" distB="0" distL="0" distR="0">
            <wp:extent cx="3133725" cy="1143000"/>
            <wp:effectExtent l="19050" t="0" r="9525" b="0"/>
            <wp:docPr id="1" name="Picture 1" descr="cid:image001.jpg@01CDB78D.31ED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DB78D.31ED7610"/>
                    <pic:cNvPicPr>
                      <a:picLocks noChangeAspect="1" noChangeArrowheads="1"/>
                    </pic:cNvPicPr>
                  </pic:nvPicPr>
                  <pic:blipFill>
                    <a:blip r:embed="rId7" cstate="print"/>
                    <a:srcRect/>
                    <a:stretch>
                      <a:fillRect/>
                    </a:stretch>
                  </pic:blipFill>
                  <pic:spPr bwMode="auto">
                    <a:xfrm>
                      <a:off x="0" y="0"/>
                      <a:ext cx="3133725" cy="1143000"/>
                    </a:xfrm>
                    <a:prstGeom prst="rect">
                      <a:avLst/>
                    </a:prstGeom>
                    <a:noFill/>
                    <a:ln w="9525">
                      <a:noFill/>
                      <a:miter lim="800000"/>
                      <a:headEnd/>
                      <a:tailEnd/>
                    </a:ln>
                  </pic:spPr>
                </pic:pic>
              </a:graphicData>
            </a:graphic>
          </wp:inline>
        </w:drawing>
      </w:r>
    </w:p>
    <w:p w:rsidR="001A4D74" w:rsidRDefault="001A4D74" w:rsidP="00EA29BF">
      <w:pPr>
        <w:spacing w:after="0" w:line="240" w:lineRule="auto"/>
        <w:jc w:val="center"/>
      </w:pPr>
    </w:p>
    <w:p w:rsidR="00EA29BF" w:rsidRPr="001A4D74" w:rsidRDefault="00EA29BF" w:rsidP="00EA29BF">
      <w:pPr>
        <w:spacing w:after="0" w:line="240" w:lineRule="auto"/>
        <w:jc w:val="center"/>
        <w:rPr>
          <w:b/>
        </w:rPr>
      </w:pPr>
      <w:r w:rsidRPr="001A4D74">
        <w:rPr>
          <w:b/>
        </w:rPr>
        <w:t>Governor’s Nonprofit Cabinet on Health and Human Services</w:t>
      </w:r>
    </w:p>
    <w:p w:rsidR="00EA29BF" w:rsidRDefault="00EA29BF" w:rsidP="00EA29BF">
      <w:pPr>
        <w:spacing w:after="0" w:line="240" w:lineRule="auto"/>
        <w:jc w:val="center"/>
      </w:pPr>
      <w:r>
        <w:t>Meeting</w:t>
      </w:r>
      <w:r w:rsidR="001A4D74">
        <w:t xml:space="preserve"> Minutes</w:t>
      </w:r>
    </w:p>
    <w:p w:rsidR="00EA29BF" w:rsidRDefault="00276967" w:rsidP="00EA29BF">
      <w:pPr>
        <w:spacing w:after="0" w:line="240" w:lineRule="auto"/>
        <w:jc w:val="center"/>
      </w:pPr>
      <w:r>
        <w:t>October 30</w:t>
      </w:r>
      <w:r w:rsidR="00EA29BF">
        <w:t>, 2013</w:t>
      </w:r>
    </w:p>
    <w:p w:rsidR="00DE7A47" w:rsidRDefault="00DE7A47"/>
    <w:p w:rsidR="00EA29BF" w:rsidRDefault="00EA29BF" w:rsidP="00EA29BF">
      <w:pPr>
        <w:spacing w:after="0" w:line="240" w:lineRule="auto"/>
      </w:pPr>
      <w:r w:rsidRPr="00982CCB">
        <w:rPr>
          <w:b/>
        </w:rPr>
        <w:t>Members Present:</w:t>
      </w:r>
      <w:r w:rsidRPr="00982CCB">
        <w:t xml:space="preserve">  Terry Edelstein; Peter DeBiasi; </w:t>
      </w:r>
      <w:r w:rsidR="001549BB">
        <w:t>William Carbone; Deborah Chernoff; Michelle Cook; Roberta Cook; Rober</w:t>
      </w:r>
      <w:r w:rsidR="006927F0">
        <w:t>t Dakers; Marcie Dimenstein; James</w:t>
      </w:r>
      <w:r w:rsidR="001549BB">
        <w:t xml:space="preserve"> Dzurenda; </w:t>
      </w:r>
      <w:r w:rsidR="006927F0">
        <w:t>Patrick Johnson; Terrence</w:t>
      </w:r>
      <w:r w:rsidR="001549BB">
        <w:t xml:space="preserve"> Macy; Daniel O’Connell; Amy Porter; Maureen Price-Bo</w:t>
      </w:r>
      <w:r w:rsidR="00A01E0C">
        <w:t>re</w:t>
      </w:r>
      <w:r w:rsidR="00FB6E96">
        <w:t>land; Patricia Reh</w:t>
      </w:r>
      <w:r w:rsidR="00A01E0C">
        <w:t>mer; Nancy Roberts; Anne Ruwet</w:t>
      </w:r>
    </w:p>
    <w:p w:rsidR="001549BB" w:rsidRDefault="001549BB" w:rsidP="00EA29BF">
      <w:pPr>
        <w:spacing w:after="0" w:line="240" w:lineRule="auto"/>
      </w:pPr>
    </w:p>
    <w:p w:rsidR="00EA29BF" w:rsidRPr="00982CCB" w:rsidRDefault="00A01E0C" w:rsidP="00EA29BF">
      <w:pPr>
        <w:spacing w:after="0" w:line="240" w:lineRule="auto"/>
      </w:pPr>
      <w:r>
        <w:rPr>
          <w:b/>
        </w:rPr>
        <w:t xml:space="preserve">Members Absent: </w:t>
      </w:r>
      <w:r w:rsidR="00EA29BF" w:rsidRPr="00982CCB">
        <w:t xml:space="preserve"> Jewel Mullen; Joette Katz; Roderick Bremby; </w:t>
      </w:r>
      <w:r w:rsidR="001549BB">
        <w:t>Yvette Bello</w:t>
      </w:r>
      <w:r>
        <w:t>; Stefan Pryor</w:t>
      </w:r>
    </w:p>
    <w:p w:rsidR="00EA29BF" w:rsidRPr="00982CCB" w:rsidRDefault="00EA29BF" w:rsidP="00EA29BF">
      <w:pPr>
        <w:spacing w:after="0" w:line="240" w:lineRule="auto"/>
      </w:pPr>
    </w:p>
    <w:p w:rsidR="00EA29BF" w:rsidRPr="00982CCB" w:rsidRDefault="00EA29BF" w:rsidP="00EA29BF">
      <w:pPr>
        <w:spacing w:after="0" w:line="240" w:lineRule="auto"/>
      </w:pPr>
      <w:r w:rsidRPr="00982CCB">
        <w:rPr>
          <w:b/>
        </w:rPr>
        <w:t>Designees</w:t>
      </w:r>
      <w:r>
        <w:rPr>
          <w:b/>
        </w:rPr>
        <w:t xml:space="preserve"> Present</w:t>
      </w:r>
      <w:r w:rsidRPr="00982CCB">
        <w:rPr>
          <w:b/>
        </w:rPr>
        <w:t xml:space="preserve">: </w:t>
      </w:r>
      <w:r w:rsidRPr="00982CCB">
        <w:t>Cindy Butterfield for Joette Katz; K</w:t>
      </w:r>
      <w:r w:rsidR="00A01E0C">
        <w:t>atharine Lewis for Jewel Mullen; Ajit Gopalakrishnan for Stefan Pryor</w:t>
      </w:r>
      <w:r w:rsidR="00C23DEE">
        <w:t>, Kathleen Brennan for Roderick Bremby</w:t>
      </w:r>
    </w:p>
    <w:p w:rsidR="00EA29BF" w:rsidRDefault="00EA29BF"/>
    <w:p w:rsidR="00653759" w:rsidRPr="00054D0F" w:rsidRDefault="00BB7B27" w:rsidP="00054D0F">
      <w:r>
        <w:t>The m</w:t>
      </w:r>
      <w:r w:rsidR="00EA29BF">
        <w:t xml:space="preserve">eeting was called to order at 9:02 a.m. by </w:t>
      </w:r>
      <w:r w:rsidR="00BD457B">
        <w:t>c</w:t>
      </w:r>
      <w:r w:rsidR="00EA29BF">
        <w:t xml:space="preserve">o-chair Terry Edelstein. </w:t>
      </w:r>
    </w:p>
    <w:p w:rsidR="001549BB" w:rsidRPr="00235154" w:rsidRDefault="00EA29BF" w:rsidP="00364B27">
      <w:pPr>
        <w:spacing w:after="0" w:line="240" w:lineRule="auto"/>
      </w:pPr>
      <w:r w:rsidRPr="00364B27">
        <w:rPr>
          <w:b/>
          <w:u w:val="single"/>
        </w:rPr>
        <w:t>Approval of</w:t>
      </w:r>
      <w:r w:rsidR="001549BB" w:rsidRPr="00364B27">
        <w:rPr>
          <w:b/>
          <w:u w:val="single"/>
        </w:rPr>
        <w:t xml:space="preserve"> September 27,</w:t>
      </w:r>
      <w:r w:rsidR="00F20377">
        <w:rPr>
          <w:b/>
          <w:u w:val="single"/>
        </w:rPr>
        <w:t xml:space="preserve"> </w:t>
      </w:r>
      <w:r w:rsidR="001549BB" w:rsidRPr="00364B27">
        <w:rPr>
          <w:b/>
          <w:u w:val="single"/>
        </w:rPr>
        <w:t xml:space="preserve">2013 </w:t>
      </w:r>
      <w:r w:rsidRPr="00364B27">
        <w:rPr>
          <w:b/>
          <w:u w:val="single"/>
        </w:rPr>
        <w:t>Cabinet Meeting</w:t>
      </w:r>
      <w:r w:rsidR="001549BB" w:rsidRPr="00364B27">
        <w:rPr>
          <w:b/>
          <w:u w:val="single"/>
        </w:rPr>
        <w:t xml:space="preserve"> Minutes</w:t>
      </w:r>
      <w:r w:rsidR="001549BB" w:rsidRPr="007C2757">
        <w:rPr>
          <w:b/>
        </w:rPr>
        <w:t>:</w:t>
      </w:r>
      <w:r w:rsidR="007C2757" w:rsidRPr="007C2757">
        <w:t xml:space="preserve">  </w:t>
      </w:r>
      <w:r w:rsidR="00DB789E" w:rsidRPr="00235154">
        <w:t>A m</w:t>
      </w:r>
      <w:r w:rsidR="001549BB" w:rsidRPr="00235154">
        <w:t xml:space="preserve">otion </w:t>
      </w:r>
      <w:r w:rsidR="00235154" w:rsidRPr="00235154">
        <w:t>(Porter</w:t>
      </w:r>
      <w:r w:rsidR="00235154">
        <w:t>/</w:t>
      </w:r>
      <w:r w:rsidR="00235154" w:rsidRPr="00235154">
        <w:t xml:space="preserve"> Roberts</w:t>
      </w:r>
      <w:r w:rsidR="00235154">
        <w:t>)</w:t>
      </w:r>
      <w:r w:rsidR="007A0298" w:rsidRPr="00235154">
        <w:t xml:space="preserve"> </w:t>
      </w:r>
      <w:r w:rsidR="001549BB" w:rsidRPr="00235154">
        <w:t>to approve the September 27, 2013 meeting minutes</w:t>
      </w:r>
      <w:r w:rsidR="00235154">
        <w:t xml:space="preserve"> was </w:t>
      </w:r>
      <w:r w:rsidR="001549BB" w:rsidRPr="00235154">
        <w:t xml:space="preserve">approved </w:t>
      </w:r>
      <w:r w:rsidR="00235154">
        <w:t xml:space="preserve">unanimously </w:t>
      </w:r>
      <w:r w:rsidR="001549BB" w:rsidRPr="00235154">
        <w:t>by voice vote.</w:t>
      </w:r>
    </w:p>
    <w:p w:rsidR="00364B27" w:rsidRPr="00235154" w:rsidRDefault="00364B27" w:rsidP="00364B27">
      <w:pPr>
        <w:spacing w:after="0" w:line="240" w:lineRule="auto"/>
        <w:rPr>
          <w:u w:val="single"/>
        </w:rPr>
      </w:pPr>
    </w:p>
    <w:p w:rsidR="00653759" w:rsidRPr="00235154" w:rsidRDefault="00653759" w:rsidP="00364B27">
      <w:pPr>
        <w:spacing w:after="0" w:line="240" w:lineRule="auto"/>
        <w:rPr>
          <w:b/>
          <w:u w:val="single"/>
        </w:rPr>
      </w:pPr>
      <w:r w:rsidRPr="00235154">
        <w:rPr>
          <w:b/>
          <w:u w:val="single"/>
        </w:rPr>
        <w:t>Work Group Reports- Recommendations and Discussion</w:t>
      </w:r>
    </w:p>
    <w:p w:rsidR="00364B27" w:rsidRDefault="00364B27" w:rsidP="00364B27">
      <w:pPr>
        <w:spacing w:after="0" w:line="240" w:lineRule="auto"/>
        <w:rPr>
          <w:u w:val="single"/>
        </w:rPr>
      </w:pPr>
    </w:p>
    <w:p w:rsidR="00364B27" w:rsidRPr="00C56A65" w:rsidRDefault="00364B27" w:rsidP="00364B27">
      <w:pPr>
        <w:spacing w:after="120" w:line="240" w:lineRule="auto"/>
        <w:rPr>
          <w:b/>
        </w:rPr>
      </w:pPr>
      <w:r w:rsidRPr="00C56A65">
        <w:rPr>
          <w:b/>
          <w:u w:val="single"/>
        </w:rPr>
        <w:t>Contract Procurement &amp; Administration Work Group</w:t>
      </w:r>
      <w:r w:rsidRPr="00C56A65">
        <w:rPr>
          <w:b/>
        </w:rPr>
        <w:t xml:space="preserve">: </w:t>
      </w:r>
    </w:p>
    <w:p w:rsidR="00537D36" w:rsidRDefault="005F4C7C" w:rsidP="00235154">
      <w:pPr>
        <w:pStyle w:val="ListParagraph"/>
        <w:numPr>
          <w:ilvl w:val="0"/>
          <w:numId w:val="17"/>
        </w:numPr>
        <w:spacing w:after="120" w:line="240" w:lineRule="auto"/>
      </w:pPr>
      <w:r>
        <w:t>F</w:t>
      </w:r>
      <w:r w:rsidR="00537D36">
        <w:t>inal reco</w:t>
      </w:r>
      <w:r w:rsidR="00FE3F3E">
        <w:t>mmendations for Cost Standards</w:t>
      </w:r>
      <w:r w:rsidR="00235154">
        <w:t>:</w:t>
      </w:r>
    </w:p>
    <w:p w:rsidR="00537D36" w:rsidRDefault="00537D36" w:rsidP="00537D36">
      <w:pPr>
        <w:pStyle w:val="ListParagraph"/>
        <w:spacing w:after="120" w:line="240" w:lineRule="auto"/>
      </w:pPr>
    </w:p>
    <w:p w:rsidR="00537D36" w:rsidRDefault="00537D36" w:rsidP="00235154">
      <w:pPr>
        <w:pStyle w:val="ListParagraph"/>
        <w:numPr>
          <w:ilvl w:val="0"/>
          <w:numId w:val="18"/>
        </w:numPr>
        <w:spacing w:after="120" w:line="240" w:lineRule="auto"/>
        <w:ind w:left="720"/>
      </w:pPr>
      <w:r>
        <w:t>Section 1</w:t>
      </w:r>
      <w:r w:rsidR="00235154">
        <w:t xml:space="preserve"> -</w:t>
      </w:r>
      <w:r>
        <w:t xml:space="preserve"> Advertising and Public Relations</w:t>
      </w:r>
      <w:r w:rsidR="00235154">
        <w:t>,</w:t>
      </w:r>
      <w:r>
        <w:t xml:space="preserve"> subsection b </w:t>
      </w:r>
      <w:r w:rsidR="00235154">
        <w:t>-</w:t>
      </w:r>
      <w:r>
        <w:t>Allowable Costs</w:t>
      </w:r>
      <w:r w:rsidR="00235154">
        <w:t xml:space="preserve">, </w:t>
      </w:r>
      <w:r>
        <w:t xml:space="preserve"> part b</w:t>
      </w:r>
      <w:r w:rsidR="00235154">
        <w:t xml:space="preserve">: </w:t>
      </w:r>
      <w:r w:rsidR="0054128B">
        <w:t>T</w:t>
      </w:r>
      <w:r>
        <w:t>he words “</w:t>
      </w:r>
      <w:r w:rsidRPr="00537D36">
        <w:t>or communicating about available services and access to care</w:t>
      </w:r>
      <w:r>
        <w:t xml:space="preserve">” </w:t>
      </w:r>
      <w:r w:rsidR="00AD1E7D">
        <w:t xml:space="preserve">were added </w:t>
      </w:r>
      <w:r>
        <w:t>so that the paragraph</w:t>
      </w:r>
      <w:r w:rsidR="00AD1E7D">
        <w:t xml:space="preserve"> </w:t>
      </w:r>
      <w:r w:rsidR="00262BEA">
        <w:t>would</w:t>
      </w:r>
      <w:r>
        <w:t xml:space="preserve"> read: </w:t>
      </w:r>
    </w:p>
    <w:p w:rsidR="00537D36" w:rsidRDefault="00537D36" w:rsidP="00235154">
      <w:pPr>
        <w:pStyle w:val="ListParagraph"/>
        <w:spacing w:after="0" w:line="240" w:lineRule="auto"/>
        <w:ind w:left="0"/>
      </w:pPr>
      <w:r>
        <w:tab/>
      </w:r>
    </w:p>
    <w:p w:rsidR="00AD1E7D" w:rsidRPr="00AD1E7D" w:rsidRDefault="00AD1E7D" w:rsidP="008B32F7">
      <w:pPr>
        <w:spacing w:after="120" w:line="240" w:lineRule="auto"/>
        <w:ind w:left="720"/>
      </w:pPr>
      <w:r w:rsidRPr="00AD1E7D">
        <w:t>(b) Costs of conducting general liaison with news media or government public relations officers, to the extent that actions are limited to communication or liaison necessary to keep the public informed on matters of public concern, such as notices of contract or grant awards or financial matters or communicating about available services and access to care.</w:t>
      </w:r>
    </w:p>
    <w:p w:rsidR="00537D36" w:rsidRPr="007C2757" w:rsidRDefault="00537D36" w:rsidP="00235154">
      <w:pPr>
        <w:spacing w:after="120" w:line="240" w:lineRule="auto"/>
        <w:ind w:left="720"/>
        <w:rPr>
          <w:i/>
        </w:rPr>
      </w:pPr>
      <w:r w:rsidRPr="007C2757">
        <w:rPr>
          <w:i/>
        </w:rPr>
        <w:t>A motion (Ruwet/Dimenstein) to accep</w:t>
      </w:r>
      <w:r w:rsidR="00E47310" w:rsidRPr="007C2757">
        <w:rPr>
          <w:i/>
        </w:rPr>
        <w:t xml:space="preserve">t the Work Group </w:t>
      </w:r>
      <w:r w:rsidR="00C61D13" w:rsidRPr="007C2757">
        <w:rPr>
          <w:i/>
        </w:rPr>
        <w:t>r</w:t>
      </w:r>
      <w:r w:rsidR="00E47310" w:rsidRPr="007C2757">
        <w:rPr>
          <w:i/>
        </w:rPr>
        <w:t>ecommendation</w:t>
      </w:r>
      <w:r w:rsidR="00262BEA">
        <w:rPr>
          <w:i/>
        </w:rPr>
        <w:t xml:space="preserve"> for Allowable Costs </w:t>
      </w:r>
      <w:r w:rsidRPr="007C2757">
        <w:rPr>
          <w:i/>
        </w:rPr>
        <w:t xml:space="preserve">as </w:t>
      </w:r>
      <w:r w:rsidR="00E47310" w:rsidRPr="007C2757">
        <w:rPr>
          <w:i/>
        </w:rPr>
        <w:t>edited</w:t>
      </w:r>
      <w:r w:rsidR="00235154" w:rsidRPr="00235154">
        <w:rPr>
          <w:i/>
        </w:rPr>
        <w:t xml:space="preserve"> </w:t>
      </w:r>
      <w:r w:rsidR="00235154" w:rsidRPr="007C2757">
        <w:rPr>
          <w:i/>
        </w:rPr>
        <w:t>passed unanimously</w:t>
      </w:r>
      <w:r w:rsidR="00E47310" w:rsidRPr="007C2757">
        <w:rPr>
          <w:i/>
        </w:rPr>
        <w:t>.</w:t>
      </w:r>
    </w:p>
    <w:p w:rsidR="00235154" w:rsidRDefault="00537D36" w:rsidP="008B32F7">
      <w:pPr>
        <w:pStyle w:val="ListParagraph"/>
        <w:numPr>
          <w:ilvl w:val="0"/>
          <w:numId w:val="18"/>
        </w:numPr>
        <w:spacing w:after="120" w:line="240" w:lineRule="auto"/>
        <w:ind w:left="720"/>
      </w:pPr>
      <w:r w:rsidRPr="00235154">
        <w:rPr>
          <w:u w:val="single"/>
        </w:rPr>
        <w:t xml:space="preserve">Section 1, </w:t>
      </w:r>
      <w:r w:rsidR="00235154" w:rsidRPr="00235154">
        <w:rPr>
          <w:u w:val="single"/>
        </w:rPr>
        <w:t>S</w:t>
      </w:r>
      <w:r w:rsidRPr="00235154">
        <w:rPr>
          <w:u w:val="single"/>
        </w:rPr>
        <w:t xml:space="preserve">ubsection c </w:t>
      </w:r>
      <w:r w:rsidR="00235154" w:rsidRPr="00235154">
        <w:rPr>
          <w:u w:val="single"/>
        </w:rPr>
        <w:t xml:space="preserve">- </w:t>
      </w:r>
      <w:r w:rsidRPr="00235154">
        <w:rPr>
          <w:u w:val="single"/>
        </w:rPr>
        <w:t>Unallowable Costs</w:t>
      </w:r>
      <w:r w:rsidR="00235154">
        <w:t>:</w:t>
      </w:r>
    </w:p>
    <w:p w:rsidR="00235154" w:rsidRDefault="00235154" w:rsidP="00235154">
      <w:pPr>
        <w:pStyle w:val="ListParagraph"/>
        <w:spacing w:after="120" w:line="240" w:lineRule="auto"/>
      </w:pPr>
    </w:p>
    <w:p w:rsidR="00537D36" w:rsidRDefault="00A120D6" w:rsidP="00A120D6">
      <w:pPr>
        <w:pStyle w:val="ListParagraph"/>
        <w:spacing w:after="120" w:line="240" w:lineRule="auto"/>
        <w:ind w:left="990" w:hanging="270"/>
      </w:pPr>
      <w:r w:rsidRPr="00A120D6">
        <w:t xml:space="preserve">- </w:t>
      </w:r>
      <w:r>
        <w:t xml:space="preserve">  </w:t>
      </w:r>
      <w:r w:rsidR="00262BEA" w:rsidRPr="00A120D6">
        <w:t>Part</w:t>
      </w:r>
      <w:r w:rsidR="00C61D13" w:rsidRPr="00A120D6">
        <w:t xml:space="preserve"> 1</w:t>
      </w:r>
      <w:r w:rsidR="00235154" w:rsidRPr="00A120D6">
        <w:t>:</w:t>
      </w:r>
      <w:r w:rsidR="00235154">
        <w:t xml:space="preserve"> Recommended that t</w:t>
      </w:r>
      <w:r w:rsidR="00E47310">
        <w:t>he words “specific to fundraising or other organizational activ</w:t>
      </w:r>
      <w:r w:rsidR="000E4A14">
        <w:t>ities”</w:t>
      </w:r>
      <w:r w:rsidR="00235154">
        <w:t xml:space="preserve"> b</w:t>
      </w:r>
      <w:r w:rsidR="000E4A14">
        <w:t>e removed</w:t>
      </w:r>
      <w:r w:rsidR="00235154">
        <w:t>,</w:t>
      </w:r>
      <w:r w:rsidR="000E4A14">
        <w:t xml:space="preserve"> </w:t>
      </w:r>
      <w:r w:rsidR="00235154">
        <w:t>as well</w:t>
      </w:r>
      <w:r w:rsidR="000E4A14">
        <w:t xml:space="preserve"> as subsections sections 1a,</w:t>
      </w:r>
      <w:r w:rsidR="00C61D13">
        <w:t xml:space="preserve"> 1</w:t>
      </w:r>
      <w:r w:rsidR="000E4A14">
        <w:t xml:space="preserve">b, and 1c which read: </w:t>
      </w:r>
    </w:p>
    <w:p w:rsidR="00235154" w:rsidRDefault="00235154" w:rsidP="00235154">
      <w:pPr>
        <w:pStyle w:val="ListParagraph"/>
        <w:spacing w:after="120" w:line="240" w:lineRule="auto"/>
      </w:pPr>
    </w:p>
    <w:p w:rsidR="000E4A14" w:rsidRDefault="000E4A14" w:rsidP="00235154">
      <w:pPr>
        <w:pStyle w:val="ListParagraph"/>
        <w:numPr>
          <w:ilvl w:val="0"/>
          <w:numId w:val="7"/>
        </w:numPr>
        <w:spacing w:after="120" w:line="240" w:lineRule="auto"/>
      </w:pPr>
      <w:r>
        <w:t>Costs of displays, demonstrations, or exhibits;</w:t>
      </w:r>
    </w:p>
    <w:p w:rsidR="000E4A14" w:rsidRDefault="000E4A14" w:rsidP="00235154">
      <w:pPr>
        <w:pStyle w:val="ListParagraph"/>
        <w:numPr>
          <w:ilvl w:val="0"/>
          <w:numId w:val="7"/>
        </w:numPr>
        <w:spacing w:after="120" w:line="240" w:lineRule="auto"/>
      </w:pPr>
      <w:r>
        <w:t>Costs of meeting rooms, hospitality suites, or other special facilities used in conjunction with shows or other special events;</w:t>
      </w:r>
    </w:p>
    <w:p w:rsidR="000E4A14" w:rsidRDefault="000E4A14" w:rsidP="00235154">
      <w:pPr>
        <w:pStyle w:val="ListParagraph"/>
        <w:numPr>
          <w:ilvl w:val="0"/>
          <w:numId w:val="7"/>
        </w:numPr>
        <w:spacing w:after="120" w:line="240" w:lineRule="auto"/>
      </w:pPr>
      <w:r>
        <w:t xml:space="preserve">Salaries and wages of employees or cost of services engaged in setting up or displaying exhibits, making demonstrations, or providing briefings. </w:t>
      </w:r>
    </w:p>
    <w:p w:rsidR="000E4A14" w:rsidRPr="00262BEA" w:rsidRDefault="000E4A14" w:rsidP="00262BEA">
      <w:pPr>
        <w:spacing w:after="120" w:line="240" w:lineRule="auto"/>
        <w:ind w:left="1080"/>
      </w:pPr>
      <w:r>
        <w:t>The new</w:t>
      </w:r>
      <w:r w:rsidR="00235154">
        <w:t xml:space="preserve"> </w:t>
      </w:r>
      <w:r>
        <w:t>Unallowable Costs</w:t>
      </w:r>
      <w:r w:rsidR="00235154">
        <w:t>,</w:t>
      </w:r>
      <w:r>
        <w:t xml:space="preserve"> </w:t>
      </w:r>
      <w:r w:rsidR="00235154">
        <w:t>S</w:t>
      </w:r>
      <w:r>
        <w:t xml:space="preserve">ection 1 </w:t>
      </w:r>
      <w:r w:rsidR="00235154">
        <w:t xml:space="preserve">would </w:t>
      </w:r>
      <w:r>
        <w:t xml:space="preserve">read: </w:t>
      </w:r>
      <w:r w:rsidRPr="000E4A14">
        <w:t>Costs of meetings or other events not related to the state award</w:t>
      </w:r>
      <w:r w:rsidR="008F5EDA">
        <w:rPr>
          <w:rFonts w:ascii="Times New Roman" w:hAnsi="Times New Roman"/>
        </w:rPr>
        <w:t>.</w:t>
      </w:r>
    </w:p>
    <w:p w:rsidR="008F5EDA" w:rsidRDefault="00235154" w:rsidP="00262BEA">
      <w:pPr>
        <w:ind w:left="1080" w:hanging="360"/>
      </w:pPr>
      <w:r>
        <w:t xml:space="preserve">-   </w:t>
      </w:r>
      <w:r w:rsidR="00262BEA">
        <w:t xml:space="preserve">   </w:t>
      </w:r>
      <w:r w:rsidR="00262BEA" w:rsidRPr="00262BEA">
        <w:rPr>
          <w:u w:val="single"/>
        </w:rPr>
        <w:t>Part</w:t>
      </w:r>
      <w:r w:rsidR="00B662D1" w:rsidRPr="00235154">
        <w:rPr>
          <w:u w:val="single"/>
        </w:rPr>
        <w:t xml:space="preserve"> 2</w:t>
      </w:r>
      <w:r>
        <w:t>: It was recommended to</w:t>
      </w:r>
      <w:r w:rsidR="000E4A14" w:rsidRPr="008F5EDA">
        <w:t xml:space="preserve"> remove the words “</w:t>
      </w:r>
      <w:r w:rsidR="008F5EDA" w:rsidRPr="008F5EDA">
        <w:t>promotional items or</w:t>
      </w:r>
      <w:r w:rsidR="00BF57F8">
        <w:t>,”</w:t>
      </w:r>
      <w:r w:rsidR="008F5EDA" w:rsidRPr="008F5EDA">
        <w:t xml:space="preserve"> “including</w:t>
      </w:r>
      <w:r w:rsidR="00215EE6">
        <w:t>,”</w:t>
      </w:r>
      <w:r w:rsidR="008F5EDA" w:rsidRPr="008F5EDA">
        <w:t xml:space="preserve"> and “souvenirs which are not related to the state award” </w:t>
      </w:r>
      <w:r>
        <w:t>to instead read</w:t>
      </w:r>
      <w:r w:rsidR="008F5EDA" w:rsidRPr="008F5EDA">
        <w:t>: Costs of memorabilia, models, gifts, or hospitality suites.</w:t>
      </w:r>
    </w:p>
    <w:p w:rsidR="008F5EDA" w:rsidRDefault="00262BEA" w:rsidP="00262BEA">
      <w:pPr>
        <w:spacing w:after="120" w:line="240" w:lineRule="auto"/>
        <w:ind w:left="1080" w:hanging="360"/>
      </w:pPr>
      <w:r>
        <w:t>-     Part 3</w:t>
      </w:r>
      <w:r w:rsidR="00B662D1">
        <w:t xml:space="preserve"> </w:t>
      </w:r>
      <w:r w:rsidR="008F5EDA" w:rsidRPr="008F5EDA">
        <w:t>was edited</w:t>
      </w:r>
      <w:r w:rsidR="00AD1E7D">
        <w:t xml:space="preserve"> to add the phrase “</w:t>
      </w:r>
      <w:r w:rsidR="008F5EDA" w:rsidRPr="008F5EDA">
        <w:t xml:space="preserve">or solely for fundraising purposes,” </w:t>
      </w:r>
      <w:r>
        <w:t xml:space="preserve">to </w:t>
      </w:r>
      <w:r w:rsidR="008F5EDA" w:rsidRPr="008F5EDA">
        <w:t>read:</w:t>
      </w:r>
      <w:r w:rsidR="00231F0B">
        <w:t xml:space="preserve"> </w:t>
      </w:r>
      <w:r w:rsidR="008F5EDA" w:rsidRPr="008F5EDA">
        <w:t xml:space="preserve">Costs of advertising or public relations designed solely to promote the organization or solely for fundraising purposes. </w:t>
      </w:r>
    </w:p>
    <w:p w:rsidR="008F5EDA" w:rsidRPr="007C2757" w:rsidRDefault="008F5EDA" w:rsidP="00262BEA">
      <w:pPr>
        <w:spacing w:after="120" w:line="240" w:lineRule="auto"/>
        <w:ind w:left="720"/>
        <w:rPr>
          <w:i/>
        </w:rPr>
      </w:pPr>
      <w:r w:rsidRPr="007C2757">
        <w:rPr>
          <w:i/>
        </w:rPr>
        <w:t xml:space="preserve">A motion (Chernoff/Dimenstein) to accept the Work </w:t>
      </w:r>
      <w:r w:rsidR="00B662D1" w:rsidRPr="007C2757">
        <w:rPr>
          <w:i/>
        </w:rPr>
        <w:t xml:space="preserve">Group </w:t>
      </w:r>
      <w:r w:rsidR="001D2CC1">
        <w:rPr>
          <w:i/>
        </w:rPr>
        <w:t>r</w:t>
      </w:r>
      <w:r w:rsidR="00B662D1" w:rsidRPr="007C2757">
        <w:rPr>
          <w:i/>
        </w:rPr>
        <w:t>ecommendation</w:t>
      </w:r>
      <w:r w:rsidR="00262BEA">
        <w:rPr>
          <w:i/>
        </w:rPr>
        <w:t>s for Unallowable Costs</w:t>
      </w:r>
      <w:r w:rsidR="00B662D1" w:rsidRPr="007C2757">
        <w:rPr>
          <w:i/>
        </w:rPr>
        <w:t xml:space="preserve"> as edited</w:t>
      </w:r>
      <w:r w:rsidR="00262BEA" w:rsidRPr="00262BEA">
        <w:rPr>
          <w:i/>
        </w:rPr>
        <w:t xml:space="preserve"> </w:t>
      </w:r>
      <w:r w:rsidR="00262BEA" w:rsidRPr="007C2757">
        <w:rPr>
          <w:i/>
        </w:rPr>
        <w:t>passed unanimously</w:t>
      </w:r>
      <w:r w:rsidR="00B662D1" w:rsidRPr="007C2757">
        <w:rPr>
          <w:i/>
        </w:rPr>
        <w:t>.</w:t>
      </w:r>
    </w:p>
    <w:p w:rsidR="00262BEA" w:rsidRDefault="00262BEA" w:rsidP="008B32F7">
      <w:pPr>
        <w:spacing w:after="120" w:line="240" w:lineRule="auto"/>
      </w:pPr>
    </w:p>
    <w:p w:rsidR="008F5EDA" w:rsidRDefault="008F5EDA" w:rsidP="00262BEA">
      <w:pPr>
        <w:pStyle w:val="ListParagraph"/>
        <w:numPr>
          <w:ilvl w:val="0"/>
          <w:numId w:val="19"/>
        </w:numPr>
        <w:spacing w:after="120" w:line="240" w:lineRule="auto"/>
        <w:ind w:left="720"/>
      </w:pPr>
      <w:r w:rsidRPr="00262BEA">
        <w:rPr>
          <w:u w:val="single"/>
        </w:rPr>
        <w:t>Section 20</w:t>
      </w:r>
      <w:r w:rsidR="00F20377" w:rsidRPr="00262BEA">
        <w:rPr>
          <w:u w:val="single"/>
        </w:rPr>
        <w:t xml:space="preserve"> “Fundraising</w:t>
      </w:r>
      <w:r w:rsidR="00F20377">
        <w:t xml:space="preserve">,” </w:t>
      </w:r>
      <w:r w:rsidR="00B662D1">
        <w:t>subsection a</w:t>
      </w:r>
      <w:r w:rsidR="00AD1E7D">
        <w:t xml:space="preserve">, </w:t>
      </w:r>
      <w:r w:rsidR="00262BEA">
        <w:t xml:space="preserve">recommended </w:t>
      </w:r>
      <w:r w:rsidR="00AD1E7D">
        <w:t>to remove the word</w:t>
      </w:r>
      <w:r>
        <w:t xml:space="preserve"> “grants” </w:t>
      </w:r>
      <w:r w:rsidR="00262BEA">
        <w:t>to read</w:t>
      </w:r>
      <w:r>
        <w:t>:</w:t>
      </w:r>
    </w:p>
    <w:p w:rsidR="008F5EDA" w:rsidRPr="008F5EDA" w:rsidRDefault="008F5EDA" w:rsidP="00262BEA">
      <w:pPr>
        <w:autoSpaceDE w:val="0"/>
        <w:autoSpaceDN w:val="0"/>
        <w:adjustRightInd w:val="0"/>
        <w:spacing w:after="0" w:line="204" w:lineRule="exact"/>
        <w:ind w:left="720" w:right="-20"/>
      </w:pPr>
      <w:r w:rsidRPr="008F5EDA">
        <w:t>Fundraising</w:t>
      </w:r>
      <w:r w:rsidR="00262BEA">
        <w:t>:</w:t>
      </w:r>
    </w:p>
    <w:p w:rsidR="008F5EDA" w:rsidRPr="008F5EDA" w:rsidRDefault="008F5EDA" w:rsidP="008B32F7">
      <w:pPr>
        <w:autoSpaceDE w:val="0"/>
        <w:autoSpaceDN w:val="0"/>
        <w:adjustRightInd w:val="0"/>
        <w:spacing w:after="0" w:line="204" w:lineRule="exact"/>
        <w:ind w:right="-20"/>
      </w:pPr>
    </w:p>
    <w:p w:rsidR="008F5EDA" w:rsidRPr="008F5EDA" w:rsidRDefault="008F5EDA" w:rsidP="00262BEA">
      <w:pPr>
        <w:autoSpaceDE w:val="0"/>
        <w:autoSpaceDN w:val="0"/>
        <w:adjustRightInd w:val="0"/>
        <w:spacing w:after="0" w:line="204" w:lineRule="exact"/>
        <w:ind w:left="1080" w:right="-20" w:hanging="360"/>
      </w:pPr>
      <w:r w:rsidRPr="008F5EDA">
        <w:t xml:space="preserve">a.   </w:t>
      </w:r>
      <w:r w:rsidR="00262BEA">
        <w:t xml:space="preserve"> </w:t>
      </w:r>
      <w:r w:rsidRPr="008F5EDA">
        <w:t>Definitions</w:t>
      </w:r>
      <w:r w:rsidR="00262BEA">
        <w:t xml:space="preserve">: </w:t>
      </w:r>
      <w:r w:rsidRPr="008F5EDA">
        <w:t>Fundraising is defined as the organization’s efforts to raise capital or obtain contributions (e.g., cash, non-cas</w:t>
      </w:r>
      <w:r w:rsidR="00AD1E7D">
        <w:t>h assets, services, time, gifts</w:t>
      </w:r>
      <w:r w:rsidRPr="008F5EDA">
        <w:t>) through financial campaigns, endowment drives, or other forms of solicitation.</w:t>
      </w:r>
    </w:p>
    <w:p w:rsidR="008F5EDA" w:rsidRPr="008F5EDA" w:rsidRDefault="008F5EDA" w:rsidP="008B32F7">
      <w:pPr>
        <w:autoSpaceDE w:val="0"/>
        <w:autoSpaceDN w:val="0"/>
        <w:adjustRightInd w:val="0"/>
        <w:spacing w:before="13" w:after="0" w:line="240" w:lineRule="exact"/>
      </w:pPr>
    </w:p>
    <w:p w:rsidR="008F5EDA" w:rsidRDefault="008F5EDA" w:rsidP="00262BEA">
      <w:pPr>
        <w:autoSpaceDE w:val="0"/>
        <w:autoSpaceDN w:val="0"/>
        <w:adjustRightInd w:val="0"/>
        <w:spacing w:after="0" w:line="239" w:lineRule="auto"/>
        <w:ind w:left="1080" w:right="50"/>
      </w:pPr>
      <w:r w:rsidRPr="008F5EDA">
        <w:t>Examples of fundraising costs include, but are not limited to, the proportional salaries and wages of staff members engaged in fundraising; fees for professional fundraisers; recruiting or training volunteer fundraisers; preparation, printing, or distribution of fundraising materials; preparation or maintenance of mailing lists; or participation in federated fundraising campaigns [see Item</w:t>
      </w:r>
      <w:r>
        <w:t xml:space="preserve"> </w:t>
      </w:r>
      <w:r w:rsidRPr="008F5EDA">
        <w:t>1c(1)].</w:t>
      </w:r>
    </w:p>
    <w:p w:rsidR="00EF0CD0" w:rsidRPr="008F5EDA" w:rsidRDefault="00EF0CD0" w:rsidP="008B32F7">
      <w:pPr>
        <w:autoSpaceDE w:val="0"/>
        <w:autoSpaceDN w:val="0"/>
        <w:adjustRightInd w:val="0"/>
        <w:spacing w:after="0" w:line="239" w:lineRule="auto"/>
        <w:ind w:left="720" w:right="50"/>
      </w:pPr>
    </w:p>
    <w:p w:rsidR="008F5EDA" w:rsidRPr="00F42C0B" w:rsidRDefault="008F5EDA" w:rsidP="00262BEA">
      <w:pPr>
        <w:autoSpaceDE w:val="0"/>
        <w:autoSpaceDN w:val="0"/>
        <w:adjustRightInd w:val="0"/>
        <w:spacing w:before="57" w:after="0" w:line="240" w:lineRule="auto"/>
        <w:ind w:left="720" w:right="-20"/>
        <w:rPr>
          <w:i/>
        </w:rPr>
      </w:pPr>
      <w:r w:rsidRPr="00F42C0B">
        <w:rPr>
          <w:i/>
        </w:rPr>
        <w:t xml:space="preserve">A motion (Roberts/Porter) to accept the Work Group </w:t>
      </w:r>
      <w:r w:rsidR="001D2CC1">
        <w:rPr>
          <w:i/>
        </w:rPr>
        <w:t>r</w:t>
      </w:r>
      <w:r w:rsidRPr="00F42C0B">
        <w:rPr>
          <w:i/>
        </w:rPr>
        <w:t>ecommendation</w:t>
      </w:r>
      <w:r w:rsidR="00262BEA">
        <w:rPr>
          <w:i/>
        </w:rPr>
        <w:t xml:space="preserve"> on Fundraising </w:t>
      </w:r>
      <w:r w:rsidRPr="00F42C0B">
        <w:rPr>
          <w:i/>
        </w:rPr>
        <w:t>as edited</w:t>
      </w:r>
      <w:r w:rsidR="00262BEA" w:rsidRPr="00262BEA">
        <w:rPr>
          <w:i/>
        </w:rPr>
        <w:t xml:space="preserve"> </w:t>
      </w:r>
      <w:r w:rsidR="00262BEA" w:rsidRPr="00F42C0B">
        <w:rPr>
          <w:i/>
        </w:rPr>
        <w:t>passed unanimously</w:t>
      </w:r>
      <w:r w:rsidRPr="00F42C0B">
        <w:rPr>
          <w:i/>
        </w:rPr>
        <w:t>.</w:t>
      </w:r>
    </w:p>
    <w:p w:rsidR="008F5EDA" w:rsidRDefault="008F5EDA" w:rsidP="008B32F7">
      <w:pPr>
        <w:autoSpaceDE w:val="0"/>
        <w:autoSpaceDN w:val="0"/>
        <w:adjustRightInd w:val="0"/>
        <w:spacing w:before="57" w:after="0" w:line="240" w:lineRule="auto"/>
        <w:ind w:right="-20"/>
      </w:pPr>
    </w:p>
    <w:p w:rsidR="00B662D1" w:rsidRDefault="00262BEA" w:rsidP="00262BEA">
      <w:pPr>
        <w:pStyle w:val="ListParagraph"/>
        <w:numPr>
          <w:ilvl w:val="0"/>
          <w:numId w:val="19"/>
        </w:numPr>
        <w:autoSpaceDE w:val="0"/>
        <w:autoSpaceDN w:val="0"/>
        <w:adjustRightInd w:val="0"/>
        <w:spacing w:before="57" w:after="0" w:line="240" w:lineRule="auto"/>
        <w:ind w:left="720" w:right="-20"/>
      </w:pPr>
      <w:r w:rsidRPr="00262BEA">
        <w:rPr>
          <w:u w:val="single"/>
        </w:rPr>
        <w:t>Section 43 – Rental</w:t>
      </w:r>
      <w:r>
        <w:t xml:space="preserve">: </w:t>
      </w:r>
      <w:r w:rsidR="00F42C0B">
        <w:t xml:space="preserve">The Work Group considered revisions </w:t>
      </w:r>
      <w:r>
        <w:t>to this s</w:t>
      </w:r>
      <w:r w:rsidR="00B662D1">
        <w:t>ection</w:t>
      </w:r>
      <w:r w:rsidR="00F42C0B">
        <w:t xml:space="preserve"> </w:t>
      </w:r>
      <w:r w:rsidR="00B662D1">
        <w:t xml:space="preserve">and </w:t>
      </w:r>
      <w:r w:rsidR="00F42C0B">
        <w:t>recommends</w:t>
      </w:r>
      <w:r w:rsidR="00B662D1">
        <w:t xml:space="preserve"> continue</w:t>
      </w:r>
      <w:r w:rsidR="00F42C0B">
        <w:t>d</w:t>
      </w:r>
      <w:r w:rsidR="00BD6EBD">
        <w:t xml:space="preserve"> work on this issue, rather than proposing changes at this point.</w:t>
      </w:r>
    </w:p>
    <w:p w:rsidR="00B662D1" w:rsidRDefault="00B662D1" w:rsidP="008B32F7">
      <w:pPr>
        <w:autoSpaceDE w:val="0"/>
        <w:autoSpaceDN w:val="0"/>
        <w:adjustRightInd w:val="0"/>
        <w:spacing w:before="57" w:after="0" w:line="240" w:lineRule="auto"/>
        <w:ind w:right="-20"/>
      </w:pPr>
    </w:p>
    <w:p w:rsidR="00B662D1" w:rsidRDefault="00B662D1" w:rsidP="008B32F7">
      <w:pPr>
        <w:pStyle w:val="ListParagraph"/>
        <w:numPr>
          <w:ilvl w:val="0"/>
          <w:numId w:val="19"/>
        </w:numPr>
        <w:autoSpaceDE w:val="0"/>
        <w:autoSpaceDN w:val="0"/>
        <w:adjustRightInd w:val="0"/>
        <w:spacing w:before="57" w:after="0" w:line="240" w:lineRule="auto"/>
        <w:ind w:left="720" w:right="-20"/>
      </w:pPr>
      <w:r w:rsidRPr="00262BEA">
        <w:rPr>
          <w:u w:val="single"/>
        </w:rPr>
        <w:t>Section 49</w:t>
      </w:r>
      <w:r w:rsidR="009938D4" w:rsidRPr="00262BEA">
        <w:rPr>
          <w:u w:val="single"/>
        </w:rPr>
        <w:t xml:space="preserve"> “Taxes,”</w:t>
      </w:r>
      <w:r w:rsidRPr="00262BEA">
        <w:rPr>
          <w:u w:val="single"/>
        </w:rPr>
        <w:t xml:space="preserve"> subsection b</w:t>
      </w:r>
      <w:r w:rsidR="00262BEA">
        <w:t xml:space="preserve">: </w:t>
      </w:r>
      <w:r w:rsidR="00716E75">
        <w:t>The</w:t>
      </w:r>
      <w:r>
        <w:t xml:space="preserve"> Work Group recommends </w:t>
      </w:r>
      <w:r w:rsidR="00716E75">
        <w:t>continued</w:t>
      </w:r>
      <w:r>
        <w:t xml:space="preserve"> work on this section </w:t>
      </w:r>
      <w:r w:rsidR="00716E75">
        <w:t>in order to</w:t>
      </w:r>
      <w:r>
        <w:t xml:space="preserve"> amend the language to </w:t>
      </w:r>
      <w:r w:rsidR="00716E75">
        <w:t>clarify that taxes incurred under</w:t>
      </w:r>
      <w:r>
        <w:t xml:space="preserve"> the Affordable Care Act</w:t>
      </w:r>
      <w:r w:rsidR="00716E75">
        <w:t xml:space="preserve"> are not reimbursable expenses under the Cost Standards.</w:t>
      </w:r>
    </w:p>
    <w:p w:rsidR="006260EE" w:rsidRDefault="006260EE" w:rsidP="006260EE">
      <w:pPr>
        <w:pStyle w:val="ListParagraph"/>
      </w:pPr>
    </w:p>
    <w:p w:rsidR="006260EE" w:rsidRDefault="006260EE" w:rsidP="006260EE">
      <w:pPr>
        <w:pStyle w:val="ListParagraph"/>
        <w:autoSpaceDE w:val="0"/>
        <w:autoSpaceDN w:val="0"/>
        <w:adjustRightInd w:val="0"/>
        <w:spacing w:before="57" w:after="0" w:line="240" w:lineRule="auto"/>
        <w:ind w:right="-20"/>
      </w:pPr>
    </w:p>
    <w:p w:rsidR="00B662D1" w:rsidRPr="00716E75" w:rsidRDefault="00B662D1" w:rsidP="006260EE">
      <w:pPr>
        <w:autoSpaceDE w:val="0"/>
        <w:autoSpaceDN w:val="0"/>
        <w:adjustRightInd w:val="0"/>
        <w:spacing w:before="57" w:after="0" w:line="240" w:lineRule="auto"/>
        <w:ind w:left="360" w:right="-20"/>
        <w:rPr>
          <w:i/>
        </w:rPr>
      </w:pPr>
      <w:r w:rsidRPr="00716E75">
        <w:rPr>
          <w:i/>
        </w:rPr>
        <w:lastRenderedPageBreak/>
        <w:t>A motion (Brennan/ Dimenstein) passed unanimously to accept the Work</w:t>
      </w:r>
      <w:r w:rsidR="009938D4">
        <w:rPr>
          <w:i/>
        </w:rPr>
        <w:t xml:space="preserve"> Group </w:t>
      </w:r>
      <w:r w:rsidR="001D2CC1">
        <w:rPr>
          <w:i/>
        </w:rPr>
        <w:t>r</w:t>
      </w:r>
      <w:r w:rsidR="009938D4">
        <w:rPr>
          <w:i/>
        </w:rPr>
        <w:t>ecommendation</w:t>
      </w:r>
      <w:r w:rsidR="00AD1E7D" w:rsidRPr="00716E75">
        <w:rPr>
          <w:i/>
        </w:rPr>
        <w:t>s</w:t>
      </w:r>
      <w:r w:rsidR="001D2CC1">
        <w:rPr>
          <w:i/>
        </w:rPr>
        <w:t xml:space="preserve"> </w:t>
      </w:r>
      <w:r w:rsidR="00262BEA">
        <w:rPr>
          <w:i/>
        </w:rPr>
        <w:t xml:space="preserve">related to </w:t>
      </w:r>
      <w:r w:rsidR="001D2CC1">
        <w:rPr>
          <w:i/>
        </w:rPr>
        <w:t>future action</w:t>
      </w:r>
      <w:r w:rsidR="00262BEA">
        <w:rPr>
          <w:i/>
        </w:rPr>
        <w:t xml:space="preserve"> on Sections 43 and 49.</w:t>
      </w:r>
    </w:p>
    <w:p w:rsidR="00B662D1" w:rsidRDefault="00B662D1" w:rsidP="008B32F7">
      <w:pPr>
        <w:spacing w:after="120" w:line="240" w:lineRule="auto"/>
        <w:rPr>
          <w:b/>
          <w:u w:val="single"/>
        </w:rPr>
      </w:pPr>
    </w:p>
    <w:p w:rsidR="00892D93" w:rsidRDefault="00B662D1" w:rsidP="00892D93">
      <w:pPr>
        <w:spacing w:after="120" w:line="240" w:lineRule="auto"/>
        <w:rPr>
          <w:b/>
        </w:rPr>
      </w:pPr>
      <w:r w:rsidRPr="00892D93">
        <w:rPr>
          <w:b/>
          <w:u w:val="single"/>
        </w:rPr>
        <w:t>Jobs Work Group</w:t>
      </w:r>
      <w:r w:rsidRPr="00892D93">
        <w:rPr>
          <w:b/>
        </w:rPr>
        <w:t xml:space="preserve">: </w:t>
      </w:r>
    </w:p>
    <w:p w:rsidR="00D05D0E" w:rsidRDefault="0099665E" w:rsidP="0099665E">
      <w:pPr>
        <w:pStyle w:val="ListParagraph"/>
        <w:numPr>
          <w:ilvl w:val="0"/>
          <w:numId w:val="20"/>
        </w:numPr>
        <w:spacing w:after="120" w:line="240" w:lineRule="auto"/>
        <w:ind w:left="360"/>
      </w:pPr>
      <w:r w:rsidRPr="0099665E">
        <w:rPr>
          <w:u w:val="single"/>
        </w:rPr>
        <w:t>Goal 3:</w:t>
      </w:r>
      <w:r>
        <w:t xml:space="preserve"> </w:t>
      </w:r>
      <w:r w:rsidR="00D05D0E" w:rsidRPr="00E962D4">
        <w:t>Co-chairs Macy and Price-Boreland reviewed proposed revisions to GOAL 3:  Project the Workforce of the Nonprofit Health and Human Services Sector to Reflect the Inclusion and Diversity of the Population Served</w:t>
      </w:r>
      <w:r w:rsidR="00E962D4">
        <w:t xml:space="preserve">. </w:t>
      </w:r>
    </w:p>
    <w:p w:rsidR="0048705C" w:rsidRPr="00A06D24" w:rsidRDefault="00FF1698" w:rsidP="00B06B5B">
      <w:pPr>
        <w:numPr>
          <w:ilvl w:val="0"/>
          <w:numId w:val="23"/>
        </w:numPr>
        <w:spacing w:after="120" w:line="240" w:lineRule="auto"/>
      </w:pPr>
      <w:r w:rsidRPr="00B06B5B">
        <w:rPr>
          <w:u w:val="single"/>
        </w:rPr>
        <w:t>Recommendation 1</w:t>
      </w:r>
      <w:r>
        <w:t xml:space="preserve"> was presented for</w:t>
      </w:r>
      <w:r w:rsidR="0048705C" w:rsidRPr="00A06D24">
        <w:t xml:space="preserve"> consideration</w:t>
      </w:r>
      <w:r>
        <w:t xml:space="preserve"> as follows</w:t>
      </w:r>
      <w:r w:rsidR="0048705C" w:rsidRPr="00A06D24">
        <w:t>:</w:t>
      </w:r>
    </w:p>
    <w:p w:rsidR="0048705C" w:rsidRPr="00A06D24" w:rsidRDefault="0048705C" w:rsidP="00B06B5B">
      <w:pPr>
        <w:pStyle w:val="ListParagraph"/>
        <w:numPr>
          <w:ilvl w:val="0"/>
          <w:numId w:val="24"/>
        </w:numPr>
        <w:spacing w:after="0" w:line="240" w:lineRule="auto"/>
        <w:ind w:left="1080"/>
      </w:pPr>
      <w:r w:rsidRPr="00A06D24">
        <w:t xml:space="preserve">Nonprofit staff should reflect, be sensitive to and competent in serving underrepresented populations, and nonprofit health and human services community based providers should actively commit to hiring management and line staff that reflects the  underrepresented populations to whom they provide services (e.g. veterans, persons with disabilities, people in recovery and the formerly incarcerated).  </w:t>
      </w:r>
    </w:p>
    <w:p w:rsidR="0048705C" w:rsidRPr="00A06D24" w:rsidRDefault="0048705C" w:rsidP="0048705C">
      <w:pPr>
        <w:pStyle w:val="ListParagraph"/>
        <w:spacing w:after="0" w:line="240" w:lineRule="auto"/>
      </w:pPr>
    </w:p>
    <w:p w:rsidR="00E962D4" w:rsidRDefault="0099665E" w:rsidP="00B06B5B">
      <w:pPr>
        <w:spacing w:after="120" w:line="240" w:lineRule="auto"/>
        <w:ind w:left="720" w:right="-360"/>
      </w:pPr>
      <w:r>
        <w:t>After Cabinet discussion, t</w:t>
      </w:r>
      <w:r w:rsidR="00E962D4">
        <w:t xml:space="preserve">he co-chairs proposed </w:t>
      </w:r>
      <w:r w:rsidR="00FF1698">
        <w:t xml:space="preserve">the following </w:t>
      </w:r>
      <w:r w:rsidR="00E962D4">
        <w:t xml:space="preserve">revision to Recommendation </w:t>
      </w:r>
      <w:r w:rsidR="00FF1698">
        <w:t>1</w:t>
      </w:r>
      <w:r w:rsidR="00E962D4">
        <w:t>:</w:t>
      </w:r>
    </w:p>
    <w:p w:rsidR="00E962D4" w:rsidRDefault="0048705C" w:rsidP="00FF1698">
      <w:pPr>
        <w:pStyle w:val="ListParagraph"/>
        <w:numPr>
          <w:ilvl w:val="0"/>
          <w:numId w:val="21"/>
        </w:numPr>
        <w:spacing w:after="120" w:line="240" w:lineRule="auto"/>
      </w:pPr>
      <w:r>
        <w:t xml:space="preserve">Nonprofit Health and Human Service Providers may demonstrate their sensitivity and competence in serving underrepresented populations by actively and affirmatively committing to hiring management and line staff that reflects the underrepresented populations to whom they provide services (e.g. veterans, persons with disabilities, people in recovery and the formally incarcerated).  </w:t>
      </w:r>
    </w:p>
    <w:p w:rsidR="003831E3" w:rsidRPr="00AD5465" w:rsidRDefault="0099665E" w:rsidP="00B06B5B">
      <w:pPr>
        <w:autoSpaceDE w:val="0"/>
        <w:autoSpaceDN w:val="0"/>
        <w:adjustRightInd w:val="0"/>
        <w:spacing w:before="57" w:after="0" w:line="240" w:lineRule="auto"/>
        <w:ind w:left="720" w:right="-20"/>
        <w:rPr>
          <w:i/>
        </w:rPr>
      </w:pPr>
      <w:r w:rsidRPr="00AD5465">
        <w:rPr>
          <w:i/>
        </w:rPr>
        <w:t>Motion (</w:t>
      </w:r>
      <w:r w:rsidR="003831E3" w:rsidRPr="00AD5465">
        <w:rPr>
          <w:i/>
        </w:rPr>
        <w:t>Cook</w:t>
      </w:r>
      <w:r w:rsidRPr="00AD5465">
        <w:rPr>
          <w:i/>
        </w:rPr>
        <w:t>/</w:t>
      </w:r>
      <w:r w:rsidR="003831E3" w:rsidRPr="00AD5465">
        <w:rPr>
          <w:i/>
        </w:rPr>
        <w:t>Dimenstein</w:t>
      </w:r>
      <w:r w:rsidRPr="00AD5465">
        <w:rPr>
          <w:i/>
        </w:rPr>
        <w:t>)</w:t>
      </w:r>
      <w:r w:rsidR="003831E3" w:rsidRPr="00AD5465">
        <w:rPr>
          <w:i/>
        </w:rPr>
        <w:t xml:space="preserve"> to accept the revised Recommendation 1 passed unanimously.</w:t>
      </w:r>
    </w:p>
    <w:p w:rsidR="003831E3" w:rsidRPr="00E962D4" w:rsidRDefault="003831E3" w:rsidP="00FF1698">
      <w:pPr>
        <w:spacing w:after="0" w:line="240" w:lineRule="auto"/>
      </w:pPr>
    </w:p>
    <w:p w:rsidR="00B06B5B" w:rsidRPr="00B06B5B" w:rsidRDefault="00B06B5B" w:rsidP="00B06B5B">
      <w:pPr>
        <w:numPr>
          <w:ilvl w:val="0"/>
          <w:numId w:val="23"/>
        </w:numPr>
        <w:autoSpaceDE w:val="0"/>
        <w:autoSpaceDN w:val="0"/>
        <w:adjustRightInd w:val="0"/>
        <w:spacing w:before="57" w:after="0" w:line="240" w:lineRule="auto"/>
        <w:ind w:right="-20"/>
        <w:rPr>
          <w:b/>
        </w:rPr>
      </w:pPr>
      <w:r w:rsidRPr="00B06B5B">
        <w:rPr>
          <w:u w:val="single"/>
        </w:rPr>
        <w:t>Recommendation 2</w:t>
      </w:r>
      <w:r>
        <w:t xml:space="preserve"> was presented for consideration as follows</w:t>
      </w:r>
      <w:r w:rsidR="00FE3F3E">
        <w:t>:</w:t>
      </w:r>
    </w:p>
    <w:p w:rsidR="00FE3F3E" w:rsidRPr="00FE3F3E" w:rsidRDefault="00FE3F3E" w:rsidP="00B06B5B">
      <w:pPr>
        <w:numPr>
          <w:ilvl w:val="1"/>
          <w:numId w:val="23"/>
        </w:numPr>
        <w:autoSpaceDE w:val="0"/>
        <w:autoSpaceDN w:val="0"/>
        <w:adjustRightInd w:val="0"/>
        <w:spacing w:before="57" w:after="0" w:line="240" w:lineRule="auto"/>
        <w:ind w:left="1080" w:right="-20"/>
        <w:rPr>
          <w:b/>
        </w:rPr>
      </w:pPr>
      <w:r>
        <w:t xml:space="preserve">State agencies who contract with Nonprofit Human Services Agencies and Nonprofit Human Service Agencies should consider contract language and policies that explicitly support recommendation number 1 above.   </w:t>
      </w:r>
    </w:p>
    <w:p w:rsidR="00B06B5B" w:rsidRPr="00AD5465" w:rsidRDefault="00FF1698" w:rsidP="00B06B5B">
      <w:pPr>
        <w:autoSpaceDE w:val="0"/>
        <w:autoSpaceDN w:val="0"/>
        <w:adjustRightInd w:val="0"/>
        <w:spacing w:before="57" w:after="0" w:line="240" w:lineRule="auto"/>
        <w:ind w:left="1080" w:right="-20"/>
        <w:rPr>
          <w:i/>
        </w:rPr>
      </w:pPr>
      <w:r w:rsidRPr="00AD5465">
        <w:rPr>
          <w:i/>
        </w:rPr>
        <w:t>It was moved (Carbone/Roberts) to accept the Work Group recommendations as presented. After discussion, motion (</w:t>
      </w:r>
      <w:r w:rsidR="00AD1E7D" w:rsidRPr="00AD5465">
        <w:rPr>
          <w:i/>
        </w:rPr>
        <w:t>Carbone</w:t>
      </w:r>
      <w:r w:rsidRPr="00AD5465">
        <w:rPr>
          <w:i/>
        </w:rPr>
        <w:t>/</w:t>
      </w:r>
      <w:r w:rsidR="006B504C" w:rsidRPr="00AD5465">
        <w:rPr>
          <w:i/>
        </w:rPr>
        <w:t>Roberts</w:t>
      </w:r>
      <w:r w:rsidRPr="00AD5465">
        <w:rPr>
          <w:i/>
        </w:rPr>
        <w:t>)</w:t>
      </w:r>
      <w:r w:rsidR="00653759" w:rsidRPr="00AD5465">
        <w:rPr>
          <w:i/>
        </w:rPr>
        <w:t xml:space="preserve"> </w:t>
      </w:r>
      <w:r w:rsidRPr="00AD5465">
        <w:rPr>
          <w:i/>
        </w:rPr>
        <w:t>passed unanimously t</w:t>
      </w:r>
      <w:r w:rsidR="00653759" w:rsidRPr="00AD5465">
        <w:rPr>
          <w:i/>
        </w:rPr>
        <w:t>o amend the motion on the floor</w:t>
      </w:r>
      <w:r w:rsidRPr="00AD5465">
        <w:rPr>
          <w:i/>
        </w:rPr>
        <w:t xml:space="preserve"> by eliminating</w:t>
      </w:r>
      <w:r w:rsidR="00AD1E7D" w:rsidRPr="00AD5465">
        <w:rPr>
          <w:i/>
        </w:rPr>
        <w:t xml:space="preserve"> the words “</w:t>
      </w:r>
      <w:r w:rsidR="00653759" w:rsidRPr="00AD5465">
        <w:rPr>
          <w:i/>
        </w:rPr>
        <w:t>contract language and” and add</w:t>
      </w:r>
      <w:r w:rsidRPr="00AD5465">
        <w:rPr>
          <w:i/>
        </w:rPr>
        <w:t>ing</w:t>
      </w:r>
      <w:r w:rsidR="00892D93" w:rsidRPr="00AD5465">
        <w:rPr>
          <w:i/>
        </w:rPr>
        <w:t xml:space="preserve"> “and procedures” as well as the sentence, “It is also recommended that these policies and procedures be consistent to the extent possible.”  </w:t>
      </w:r>
    </w:p>
    <w:p w:rsidR="00892D93" w:rsidRDefault="00FF1698" w:rsidP="00B06B5B">
      <w:pPr>
        <w:autoSpaceDE w:val="0"/>
        <w:autoSpaceDN w:val="0"/>
        <w:adjustRightInd w:val="0"/>
        <w:spacing w:before="57" w:after="0" w:line="240" w:lineRule="auto"/>
        <w:ind w:left="1080" w:right="-20"/>
      </w:pPr>
      <w:r>
        <w:t>With these changes, R</w:t>
      </w:r>
      <w:r w:rsidR="00892D93">
        <w:t>ecommendation 2 w</w:t>
      </w:r>
      <w:r>
        <w:t>ould read</w:t>
      </w:r>
      <w:r w:rsidR="00892D93">
        <w:t>:</w:t>
      </w:r>
      <w:r w:rsidR="004D540F">
        <w:t xml:space="preserve"> </w:t>
      </w:r>
      <w:r w:rsidR="00892D93">
        <w:t xml:space="preserve">State agencies who contract with Nonprofit Human Services Agencies and Nonprofit Human Service Agencies should consider policies and procedures that explicitly support recommendation number 1 above. </w:t>
      </w:r>
      <w:r w:rsidR="00892D93" w:rsidRPr="00892D93">
        <w:t>It is also recommended that these policies and procedures be consistent to the extent possible</w:t>
      </w:r>
      <w:r w:rsidR="00892D93">
        <w:t xml:space="preserve">. </w:t>
      </w:r>
    </w:p>
    <w:p w:rsidR="00892D93" w:rsidRPr="00AD5465" w:rsidRDefault="00892D93" w:rsidP="00B06B5B">
      <w:pPr>
        <w:autoSpaceDE w:val="0"/>
        <w:autoSpaceDN w:val="0"/>
        <w:adjustRightInd w:val="0"/>
        <w:spacing w:before="120" w:after="0" w:line="240" w:lineRule="auto"/>
        <w:ind w:left="720" w:right="-90"/>
        <w:rPr>
          <w:i/>
        </w:rPr>
      </w:pPr>
      <w:r w:rsidRPr="00AD5465">
        <w:rPr>
          <w:i/>
        </w:rPr>
        <w:t xml:space="preserve">The </w:t>
      </w:r>
      <w:r w:rsidR="00FF1698" w:rsidRPr="00AD5465">
        <w:rPr>
          <w:i/>
        </w:rPr>
        <w:t xml:space="preserve">amended motion (Carbone/Roberts) to accept Recommendation 2 as amended passed unanimously. </w:t>
      </w:r>
      <w:r w:rsidRPr="00AD5465">
        <w:rPr>
          <w:i/>
        </w:rPr>
        <w:t xml:space="preserve"> </w:t>
      </w:r>
    </w:p>
    <w:p w:rsidR="00892D93" w:rsidRPr="00FF1698" w:rsidRDefault="00892D93" w:rsidP="00B06B5B">
      <w:pPr>
        <w:autoSpaceDE w:val="0"/>
        <w:autoSpaceDN w:val="0"/>
        <w:adjustRightInd w:val="0"/>
        <w:spacing w:after="0" w:line="240" w:lineRule="auto"/>
        <w:ind w:right="-20"/>
      </w:pPr>
    </w:p>
    <w:p w:rsidR="00C4489D" w:rsidRDefault="00892D93" w:rsidP="00B06B5B">
      <w:pPr>
        <w:autoSpaceDE w:val="0"/>
        <w:autoSpaceDN w:val="0"/>
        <w:adjustRightInd w:val="0"/>
        <w:spacing w:before="57" w:after="0" w:line="240" w:lineRule="auto"/>
        <w:ind w:right="-20"/>
      </w:pPr>
      <w:r>
        <w:rPr>
          <w:b/>
          <w:u w:val="single"/>
        </w:rPr>
        <w:t>Consideration of Draft Report to the Governor:</w:t>
      </w:r>
      <w:r w:rsidR="00B06B5B">
        <w:rPr>
          <w:b/>
          <w:u w:val="single"/>
        </w:rPr>
        <w:t xml:space="preserve"> </w:t>
      </w:r>
      <w:r w:rsidR="00A21AFF">
        <w:t>Cabinet members reviewed the format of the</w:t>
      </w:r>
      <w:r w:rsidR="00C4489D">
        <w:t xml:space="preserve"> draft </w:t>
      </w:r>
      <w:r w:rsidR="00B06B5B">
        <w:t>R</w:t>
      </w:r>
      <w:r w:rsidR="00C4489D">
        <w:t xml:space="preserve">eport to the Governor, </w:t>
      </w:r>
      <w:r w:rsidR="00B06B5B">
        <w:t xml:space="preserve">and </w:t>
      </w:r>
      <w:r w:rsidR="00C4489D">
        <w:t>recommend</w:t>
      </w:r>
      <w:r w:rsidR="00B06B5B">
        <w:t>ed</w:t>
      </w:r>
      <w:r w:rsidR="00C4489D">
        <w:t xml:space="preserve"> the following changes:</w:t>
      </w:r>
    </w:p>
    <w:p w:rsidR="00892D93" w:rsidRDefault="00C4489D" w:rsidP="00B06B5B">
      <w:pPr>
        <w:pStyle w:val="ListParagraph"/>
        <w:numPr>
          <w:ilvl w:val="0"/>
          <w:numId w:val="16"/>
        </w:numPr>
        <w:autoSpaceDE w:val="0"/>
        <w:autoSpaceDN w:val="0"/>
        <w:adjustRightInd w:val="0"/>
        <w:spacing w:before="120" w:after="0" w:line="240" w:lineRule="auto"/>
        <w:ind w:left="360" w:right="-20"/>
      </w:pPr>
      <w:r>
        <w:t>Streamline</w:t>
      </w:r>
      <w:r w:rsidR="00B06B5B">
        <w:t>d</w:t>
      </w:r>
      <w:r>
        <w:t xml:space="preserve"> recommendations for the</w:t>
      </w:r>
      <w:r w:rsidR="00A21AFF">
        <w:t xml:space="preserve"> Contract Procurement &amp; </w:t>
      </w:r>
      <w:r>
        <w:t>Administration Work Group</w:t>
      </w:r>
    </w:p>
    <w:p w:rsidR="00892D93" w:rsidRDefault="00892D93" w:rsidP="00C56A65">
      <w:pPr>
        <w:autoSpaceDE w:val="0"/>
        <w:autoSpaceDN w:val="0"/>
        <w:adjustRightInd w:val="0"/>
        <w:spacing w:before="57" w:after="0" w:line="240" w:lineRule="auto"/>
        <w:ind w:right="-20"/>
      </w:pPr>
    </w:p>
    <w:p w:rsidR="00892D93" w:rsidRDefault="00C4489D" w:rsidP="00C56A65">
      <w:pPr>
        <w:pStyle w:val="ListParagraph"/>
        <w:numPr>
          <w:ilvl w:val="0"/>
          <w:numId w:val="16"/>
        </w:numPr>
        <w:autoSpaceDE w:val="0"/>
        <w:autoSpaceDN w:val="0"/>
        <w:adjustRightInd w:val="0"/>
        <w:spacing w:before="57" w:after="0" w:line="240" w:lineRule="auto"/>
        <w:ind w:left="360" w:right="-20"/>
      </w:pPr>
      <w:r>
        <w:t xml:space="preserve">Governor’s </w:t>
      </w:r>
      <w:r w:rsidR="0058717D">
        <w:t xml:space="preserve">charge to </w:t>
      </w:r>
      <w:r>
        <w:t>each</w:t>
      </w:r>
      <w:r w:rsidR="0058717D">
        <w:t xml:space="preserve"> work group</w:t>
      </w:r>
      <w:r>
        <w:t xml:space="preserve"> prior to the recommendations</w:t>
      </w:r>
      <w:r w:rsidR="0058717D">
        <w:t xml:space="preserve"> </w:t>
      </w:r>
    </w:p>
    <w:p w:rsidR="00E47D79" w:rsidRDefault="00E47D79" w:rsidP="00C56A65">
      <w:pPr>
        <w:autoSpaceDE w:val="0"/>
        <w:autoSpaceDN w:val="0"/>
        <w:adjustRightInd w:val="0"/>
        <w:spacing w:before="57" w:after="0" w:line="240" w:lineRule="auto"/>
        <w:ind w:right="-20"/>
      </w:pPr>
    </w:p>
    <w:p w:rsidR="00C4489D" w:rsidRDefault="00C4489D" w:rsidP="00B06B5B">
      <w:pPr>
        <w:pStyle w:val="ListParagraph"/>
        <w:numPr>
          <w:ilvl w:val="0"/>
          <w:numId w:val="16"/>
        </w:numPr>
        <w:autoSpaceDE w:val="0"/>
        <w:autoSpaceDN w:val="0"/>
        <w:adjustRightInd w:val="0"/>
        <w:spacing w:after="0" w:line="240" w:lineRule="auto"/>
        <w:ind w:left="360" w:right="-20"/>
      </w:pPr>
      <w:r>
        <w:t>Addition of</w:t>
      </w:r>
      <w:r w:rsidR="0058717D">
        <w:t xml:space="preserve"> </w:t>
      </w:r>
      <w:r w:rsidR="00E47D79">
        <w:t xml:space="preserve">partnership principles </w:t>
      </w:r>
      <w:r w:rsidR="0058717D">
        <w:t>to the body of the report</w:t>
      </w:r>
    </w:p>
    <w:p w:rsidR="00C4489D" w:rsidRDefault="00C4489D" w:rsidP="00B06B5B">
      <w:pPr>
        <w:pStyle w:val="ListParagraph"/>
        <w:spacing w:after="0"/>
        <w:ind w:left="360"/>
      </w:pPr>
    </w:p>
    <w:p w:rsidR="00C4489D" w:rsidRDefault="00C4489D" w:rsidP="00B06B5B">
      <w:pPr>
        <w:pStyle w:val="ListParagraph"/>
        <w:numPr>
          <w:ilvl w:val="0"/>
          <w:numId w:val="16"/>
        </w:numPr>
        <w:autoSpaceDE w:val="0"/>
        <w:autoSpaceDN w:val="0"/>
        <w:adjustRightInd w:val="0"/>
        <w:spacing w:after="0" w:line="240" w:lineRule="auto"/>
        <w:ind w:left="360" w:right="-20"/>
      </w:pPr>
      <w:r>
        <w:t>Brief summary prior to Populations Results Work Group recommendations</w:t>
      </w:r>
    </w:p>
    <w:p w:rsidR="00C4489D" w:rsidRDefault="00C4489D" w:rsidP="00B06B5B">
      <w:pPr>
        <w:pStyle w:val="ListParagraph"/>
        <w:spacing w:after="0"/>
        <w:ind w:left="360"/>
      </w:pPr>
    </w:p>
    <w:p w:rsidR="00EF6B34" w:rsidRDefault="00EF6B34" w:rsidP="00B06B5B">
      <w:pPr>
        <w:pStyle w:val="ListParagraph"/>
        <w:numPr>
          <w:ilvl w:val="0"/>
          <w:numId w:val="16"/>
        </w:numPr>
        <w:autoSpaceDE w:val="0"/>
        <w:autoSpaceDN w:val="0"/>
        <w:adjustRightInd w:val="0"/>
        <w:spacing w:after="0" w:line="240" w:lineRule="auto"/>
        <w:ind w:left="360" w:right="-20"/>
      </w:pPr>
      <w:r>
        <w:t>Changing recommendation 5 of “A</w:t>
      </w:r>
      <w:r w:rsidRPr="00E47D79">
        <w:t xml:space="preserve">dditional </w:t>
      </w:r>
      <w:r>
        <w:t>Recommendations for Future Focus of Cabinet W</w:t>
      </w:r>
      <w:r w:rsidRPr="00E47D79">
        <w:t>ork</w:t>
      </w:r>
      <w:r>
        <w:t>” by removing the phrase “hot topic” and replacing with “critical”</w:t>
      </w:r>
    </w:p>
    <w:p w:rsidR="00C4489D" w:rsidRDefault="00C4489D" w:rsidP="00B06B5B">
      <w:pPr>
        <w:pStyle w:val="ListParagraph"/>
        <w:autoSpaceDE w:val="0"/>
        <w:autoSpaceDN w:val="0"/>
        <w:adjustRightInd w:val="0"/>
        <w:spacing w:after="0" w:line="240" w:lineRule="auto"/>
        <w:ind w:right="-20"/>
      </w:pPr>
    </w:p>
    <w:p w:rsidR="002E53F3" w:rsidRPr="00AD5465" w:rsidRDefault="002E53F3" w:rsidP="00B06B5B">
      <w:pPr>
        <w:autoSpaceDE w:val="0"/>
        <w:autoSpaceDN w:val="0"/>
        <w:adjustRightInd w:val="0"/>
        <w:spacing w:after="0" w:line="240" w:lineRule="auto"/>
        <w:ind w:right="-20"/>
        <w:rPr>
          <w:i/>
        </w:rPr>
      </w:pPr>
      <w:r w:rsidRPr="00AD5465">
        <w:rPr>
          <w:i/>
        </w:rPr>
        <w:t xml:space="preserve">A motion (Roberts/Johnson) to </w:t>
      </w:r>
      <w:r w:rsidR="00EF6B34" w:rsidRPr="00AD5465">
        <w:rPr>
          <w:i/>
        </w:rPr>
        <w:t xml:space="preserve">accept </w:t>
      </w:r>
      <w:r w:rsidRPr="00AD5465">
        <w:rPr>
          <w:i/>
        </w:rPr>
        <w:t>the final recommendations</w:t>
      </w:r>
      <w:r w:rsidR="00EF6B34" w:rsidRPr="00AD5465">
        <w:rPr>
          <w:i/>
        </w:rPr>
        <w:t xml:space="preserve"> and </w:t>
      </w:r>
      <w:r w:rsidR="00B06B5B" w:rsidRPr="00AD5465">
        <w:rPr>
          <w:i/>
        </w:rPr>
        <w:t xml:space="preserve">recommended </w:t>
      </w:r>
      <w:r w:rsidR="00EF6B34" w:rsidRPr="00AD5465">
        <w:rPr>
          <w:i/>
        </w:rPr>
        <w:t>future focus</w:t>
      </w:r>
      <w:r w:rsidR="00B06B5B" w:rsidRPr="00AD5465">
        <w:rPr>
          <w:i/>
        </w:rPr>
        <w:t xml:space="preserve"> of the Cabinet was</w:t>
      </w:r>
      <w:r w:rsidR="00EF6B34" w:rsidRPr="00AD5465">
        <w:rPr>
          <w:i/>
        </w:rPr>
        <w:t xml:space="preserve"> approved unanimously.</w:t>
      </w:r>
    </w:p>
    <w:p w:rsidR="002E53F3" w:rsidRDefault="002E53F3" w:rsidP="00E47D79">
      <w:pPr>
        <w:autoSpaceDE w:val="0"/>
        <w:autoSpaceDN w:val="0"/>
        <w:adjustRightInd w:val="0"/>
        <w:spacing w:before="57" w:after="0" w:line="240" w:lineRule="auto"/>
        <w:ind w:right="-20"/>
      </w:pPr>
    </w:p>
    <w:p w:rsidR="002E53F3" w:rsidRPr="00CA4A77" w:rsidRDefault="002E53F3" w:rsidP="00CA4A77">
      <w:pPr>
        <w:tabs>
          <w:tab w:val="left" w:pos="360"/>
        </w:tabs>
        <w:spacing w:after="0" w:line="240" w:lineRule="auto"/>
        <w:rPr>
          <w:sz w:val="21"/>
          <w:szCs w:val="21"/>
        </w:rPr>
      </w:pPr>
      <w:r w:rsidRPr="00B06B5B">
        <w:rPr>
          <w:b/>
          <w:sz w:val="21"/>
          <w:szCs w:val="21"/>
          <w:u w:val="single"/>
        </w:rPr>
        <w:t>Adjournment:</w:t>
      </w:r>
      <w:r>
        <w:rPr>
          <w:sz w:val="21"/>
          <w:szCs w:val="21"/>
        </w:rPr>
        <w:t xml:space="preserve"> Co-Chair Edelstein adjourned the meeting at 10:23</w:t>
      </w:r>
      <w:r w:rsidRPr="00051560">
        <w:rPr>
          <w:sz w:val="21"/>
          <w:szCs w:val="21"/>
        </w:rPr>
        <w:t xml:space="preserve"> a.m.</w:t>
      </w:r>
      <w:r>
        <w:rPr>
          <w:sz w:val="21"/>
          <w:szCs w:val="21"/>
        </w:rPr>
        <w:t xml:space="preserve">  </w:t>
      </w:r>
    </w:p>
    <w:p w:rsidR="002E53F3" w:rsidRPr="00CA4A77" w:rsidRDefault="002E53F3" w:rsidP="002E53F3">
      <w:pPr>
        <w:spacing w:after="0" w:line="240" w:lineRule="auto"/>
        <w:rPr>
          <w:sz w:val="21"/>
          <w:szCs w:val="21"/>
        </w:rPr>
      </w:pPr>
    </w:p>
    <w:p w:rsidR="002E53F3" w:rsidRPr="00CA4A77" w:rsidRDefault="002E53F3" w:rsidP="002E53F3">
      <w:pPr>
        <w:spacing w:after="0" w:line="240" w:lineRule="auto"/>
        <w:rPr>
          <w:sz w:val="21"/>
          <w:szCs w:val="21"/>
        </w:rPr>
      </w:pPr>
    </w:p>
    <w:p w:rsidR="00364B27" w:rsidRPr="00364B27" w:rsidRDefault="002E53F3" w:rsidP="00CA4A77">
      <w:pPr>
        <w:spacing w:after="0" w:line="240" w:lineRule="auto"/>
        <w:rPr>
          <w:u w:val="single"/>
        </w:rPr>
      </w:pPr>
      <w:r w:rsidRPr="00CA4A77">
        <w:rPr>
          <w:sz w:val="21"/>
          <w:szCs w:val="21"/>
        </w:rPr>
        <w:t>Recorder:  Brittany Kaplan, Public Policy Intern to the Governor’s Nonprofit Liaison</w:t>
      </w:r>
      <w:r w:rsidR="00CA4A77">
        <w:rPr>
          <w:sz w:val="21"/>
          <w:szCs w:val="21"/>
        </w:rPr>
        <w:t xml:space="preserve">, </w:t>
      </w:r>
      <w:r w:rsidRPr="00CA4A77">
        <w:rPr>
          <w:sz w:val="21"/>
          <w:szCs w:val="21"/>
        </w:rPr>
        <w:t>Office of the Governor</w:t>
      </w:r>
    </w:p>
    <w:sectPr w:rsidR="00364B27" w:rsidRPr="00364B27" w:rsidSect="00705267">
      <w:headerReference w:type="even" r:id="rId8"/>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40D" w:rsidRDefault="009B740D" w:rsidP="00364B27">
      <w:pPr>
        <w:spacing w:after="0" w:line="240" w:lineRule="auto"/>
      </w:pPr>
      <w:r>
        <w:separator/>
      </w:r>
    </w:p>
  </w:endnote>
  <w:endnote w:type="continuationSeparator" w:id="0">
    <w:p w:rsidR="009B740D" w:rsidRDefault="009B740D" w:rsidP="00364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7F8" w:rsidRPr="001A4D74" w:rsidRDefault="00EE5615">
    <w:pPr>
      <w:pStyle w:val="Footer"/>
      <w:rPr>
        <w:sz w:val="12"/>
        <w:szCs w:val="12"/>
      </w:rPr>
    </w:pPr>
    <w:r>
      <w:fldChar w:fldCharType="begin"/>
    </w:r>
    <w:r>
      <w:instrText xml:space="preserve"> FILENAME  \p  \* MERGEFORMAT </w:instrText>
    </w:r>
    <w:r>
      <w:fldChar w:fldCharType="separate"/>
    </w:r>
    <w:r w:rsidR="00A00B36" w:rsidRPr="00A00B36">
      <w:rPr>
        <w:noProof/>
        <w:sz w:val="12"/>
        <w:szCs w:val="12"/>
      </w:rPr>
      <w:t>Q:\10-30-13  draft Governor's Cabinet on Nonprofit Health and Human Services Minutes (PSD).docx</w:t>
    </w:r>
    <w:r>
      <w:rPr>
        <w:noProof/>
        <w:sz w:val="12"/>
        <w:szCs w:val="12"/>
      </w:rPr>
      <w:fldChar w:fldCharType="end"/>
    </w:r>
  </w:p>
  <w:p w:rsidR="00BF57F8" w:rsidRPr="001A4D74" w:rsidRDefault="00BF57F8">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40D" w:rsidRDefault="009B740D" w:rsidP="00364B27">
      <w:pPr>
        <w:spacing w:after="0" w:line="240" w:lineRule="auto"/>
      </w:pPr>
      <w:r>
        <w:separator/>
      </w:r>
    </w:p>
  </w:footnote>
  <w:footnote w:type="continuationSeparator" w:id="0">
    <w:p w:rsidR="009B740D" w:rsidRDefault="009B740D" w:rsidP="00364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7F8" w:rsidRDefault="00BF57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267" w:rsidRPr="001A4D74" w:rsidRDefault="00705267" w:rsidP="00705267">
    <w:pPr>
      <w:spacing w:after="0" w:line="240" w:lineRule="auto"/>
      <w:rPr>
        <w:b/>
      </w:rPr>
    </w:pPr>
    <w:r w:rsidRPr="001A4D74">
      <w:rPr>
        <w:b/>
      </w:rPr>
      <w:t>Governor’s Nonprofit Cabinet on Health and Human Services</w:t>
    </w:r>
  </w:p>
  <w:p w:rsidR="00705267" w:rsidRDefault="00705267" w:rsidP="00705267">
    <w:pPr>
      <w:spacing w:after="0" w:line="240" w:lineRule="auto"/>
    </w:pPr>
    <w:r>
      <w:t>Meeting Minutes - October 30, 2013</w:t>
    </w:r>
  </w:p>
  <w:p w:rsidR="00705267" w:rsidRDefault="00705267" w:rsidP="00705267">
    <w:pPr>
      <w:spacing w:after="0" w:line="240" w:lineRule="auto"/>
    </w:pPr>
    <w:r>
      <w:t xml:space="preserve">Page </w:t>
    </w:r>
    <w:r w:rsidR="00EE5615">
      <w:fldChar w:fldCharType="begin"/>
    </w:r>
    <w:r w:rsidR="00EE5615">
      <w:instrText xml:space="preserve"> PAGE   \* MERGEFORMAT </w:instrText>
    </w:r>
    <w:r w:rsidR="00EE5615">
      <w:fldChar w:fldCharType="separate"/>
    </w:r>
    <w:r w:rsidR="00EE5615">
      <w:rPr>
        <w:noProof/>
      </w:rPr>
      <w:t>4</w:t>
    </w:r>
    <w:r w:rsidR="00EE5615">
      <w:rPr>
        <w:noProof/>
      </w:rPr>
      <w:fldChar w:fldCharType="end"/>
    </w:r>
  </w:p>
  <w:p w:rsidR="00BF57F8" w:rsidRDefault="00BF57F8">
    <w:pPr>
      <w:pStyle w:val="Header"/>
    </w:pPr>
  </w:p>
  <w:p w:rsidR="00BF57F8" w:rsidRDefault="00BF57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7F8" w:rsidRDefault="00BF57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82931"/>
    <w:multiLevelType w:val="hybridMultilevel"/>
    <w:tmpl w:val="AAD6692A"/>
    <w:lvl w:ilvl="0" w:tplc="C1D495F6">
      <w:numFmt w:val="bullet"/>
      <w:lvlText w:val="-"/>
      <w:lvlJc w:val="left"/>
      <w:pPr>
        <w:ind w:left="1080" w:hanging="360"/>
      </w:pPr>
      <w:rPr>
        <w:rFonts w:ascii="Calibri" w:eastAsia="Calibri" w:hAnsi="Calibri"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3D3074"/>
    <w:multiLevelType w:val="hybridMultilevel"/>
    <w:tmpl w:val="33909044"/>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B1190"/>
    <w:multiLevelType w:val="hybridMultilevel"/>
    <w:tmpl w:val="645450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9613AB"/>
    <w:multiLevelType w:val="hybridMultilevel"/>
    <w:tmpl w:val="88C4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6224E"/>
    <w:multiLevelType w:val="hybridMultilevel"/>
    <w:tmpl w:val="D65C2256"/>
    <w:lvl w:ilvl="0" w:tplc="934412F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13D0D"/>
    <w:multiLevelType w:val="hybridMultilevel"/>
    <w:tmpl w:val="68420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FA365A"/>
    <w:multiLevelType w:val="hybridMultilevel"/>
    <w:tmpl w:val="D65C2256"/>
    <w:lvl w:ilvl="0" w:tplc="934412F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5479D3"/>
    <w:multiLevelType w:val="hybridMultilevel"/>
    <w:tmpl w:val="508A5146"/>
    <w:lvl w:ilvl="0" w:tplc="7A548EF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7C4427"/>
    <w:multiLevelType w:val="hybridMultilevel"/>
    <w:tmpl w:val="87D6C1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D61FDD"/>
    <w:multiLevelType w:val="hybridMultilevel"/>
    <w:tmpl w:val="30185D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49F724B"/>
    <w:multiLevelType w:val="hybridMultilevel"/>
    <w:tmpl w:val="13CA69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47B5A"/>
    <w:multiLevelType w:val="hybridMultilevel"/>
    <w:tmpl w:val="045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813C35"/>
    <w:multiLevelType w:val="hybridMultilevel"/>
    <w:tmpl w:val="96F6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CB54AF"/>
    <w:multiLevelType w:val="hybridMultilevel"/>
    <w:tmpl w:val="1DF83D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F80EA9"/>
    <w:multiLevelType w:val="hybridMultilevel"/>
    <w:tmpl w:val="AFC47E6A"/>
    <w:lvl w:ilvl="0" w:tplc="115AEA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DC1342E"/>
    <w:multiLevelType w:val="hybridMultilevel"/>
    <w:tmpl w:val="23609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5986E9C"/>
    <w:multiLevelType w:val="hybridMultilevel"/>
    <w:tmpl w:val="162E6018"/>
    <w:lvl w:ilvl="0" w:tplc="04090003">
      <w:start w:val="1"/>
      <w:numFmt w:val="bullet"/>
      <w:lvlText w:val="o"/>
      <w:lvlJc w:val="left"/>
      <w:pPr>
        <w:ind w:left="720" w:hanging="360"/>
      </w:pPr>
      <w:rPr>
        <w:rFonts w:ascii="Courier New" w:hAnsi="Courier New" w:cs="Courier New" w:hint="default"/>
      </w:rPr>
    </w:lvl>
    <w:lvl w:ilvl="1" w:tplc="259643CC">
      <w:start w:val="1"/>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615922"/>
    <w:multiLevelType w:val="hybridMultilevel"/>
    <w:tmpl w:val="58564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F9162D"/>
    <w:multiLevelType w:val="hybridMultilevel"/>
    <w:tmpl w:val="FEE6712E"/>
    <w:lvl w:ilvl="0" w:tplc="259643CC">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3FD2B12"/>
    <w:multiLevelType w:val="hybridMultilevel"/>
    <w:tmpl w:val="2A9E3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6AB0418"/>
    <w:multiLevelType w:val="hybridMultilevel"/>
    <w:tmpl w:val="F38029F0"/>
    <w:lvl w:ilvl="0" w:tplc="7B1A264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C86B2E"/>
    <w:multiLevelType w:val="hybridMultilevel"/>
    <w:tmpl w:val="43244DB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59826C9"/>
    <w:multiLevelType w:val="hybridMultilevel"/>
    <w:tmpl w:val="B91AC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B0557F"/>
    <w:multiLevelType w:val="hybridMultilevel"/>
    <w:tmpl w:val="E3329E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8"/>
  </w:num>
  <w:num w:numId="4">
    <w:abstractNumId w:val="13"/>
  </w:num>
  <w:num w:numId="5">
    <w:abstractNumId w:val="10"/>
  </w:num>
  <w:num w:numId="6">
    <w:abstractNumId w:val="12"/>
  </w:num>
  <w:num w:numId="7">
    <w:abstractNumId w:val="14"/>
  </w:num>
  <w:num w:numId="8">
    <w:abstractNumId w:val="4"/>
  </w:num>
  <w:num w:numId="9">
    <w:abstractNumId w:val="11"/>
  </w:num>
  <w:num w:numId="10">
    <w:abstractNumId w:val="2"/>
  </w:num>
  <w:num w:numId="11">
    <w:abstractNumId w:val="17"/>
  </w:num>
  <w:num w:numId="12">
    <w:abstractNumId w:val="1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22"/>
  </w:num>
  <w:num w:numId="17">
    <w:abstractNumId w:val="19"/>
  </w:num>
  <w:num w:numId="18">
    <w:abstractNumId w:val="21"/>
  </w:num>
  <w:num w:numId="19">
    <w:abstractNumId w:val="23"/>
  </w:num>
  <w:num w:numId="20">
    <w:abstractNumId w:val="3"/>
  </w:num>
  <w:num w:numId="21">
    <w:abstractNumId w:val="18"/>
  </w:num>
  <w:num w:numId="22">
    <w:abstractNumId w:val="9"/>
  </w:num>
  <w:num w:numId="23">
    <w:abstractNumId w:val="16"/>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9BF"/>
    <w:rsid w:val="00054D0F"/>
    <w:rsid w:val="000D7959"/>
    <w:rsid w:val="000E4A14"/>
    <w:rsid w:val="001549BB"/>
    <w:rsid w:val="001A4D74"/>
    <w:rsid w:val="001D2CC1"/>
    <w:rsid w:val="00215EE6"/>
    <w:rsid w:val="00231F0B"/>
    <w:rsid w:val="00235154"/>
    <w:rsid w:val="00262BEA"/>
    <w:rsid w:val="00276967"/>
    <w:rsid w:val="00280728"/>
    <w:rsid w:val="002B4688"/>
    <w:rsid w:val="002E2D53"/>
    <w:rsid w:val="002E53F3"/>
    <w:rsid w:val="002F61E2"/>
    <w:rsid w:val="00341164"/>
    <w:rsid w:val="00364B27"/>
    <w:rsid w:val="003831E3"/>
    <w:rsid w:val="003863B2"/>
    <w:rsid w:val="003A1D32"/>
    <w:rsid w:val="0048705C"/>
    <w:rsid w:val="004C32CA"/>
    <w:rsid w:val="004D540F"/>
    <w:rsid w:val="004D7B32"/>
    <w:rsid w:val="00537D36"/>
    <w:rsid w:val="0054128B"/>
    <w:rsid w:val="0058717D"/>
    <w:rsid w:val="005C06FB"/>
    <w:rsid w:val="005F4C7C"/>
    <w:rsid w:val="006260EE"/>
    <w:rsid w:val="00644C4B"/>
    <w:rsid w:val="00653759"/>
    <w:rsid w:val="006745DE"/>
    <w:rsid w:val="006927F0"/>
    <w:rsid w:val="006B504C"/>
    <w:rsid w:val="006D55C9"/>
    <w:rsid w:val="00705267"/>
    <w:rsid w:val="00716E75"/>
    <w:rsid w:val="00716FC2"/>
    <w:rsid w:val="007A0298"/>
    <w:rsid w:val="007A2631"/>
    <w:rsid w:val="007A3881"/>
    <w:rsid w:val="007C2757"/>
    <w:rsid w:val="00892D93"/>
    <w:rsid w:val="008B32F7"/>
    <w:rsid w:val="008F5EDA"/>
    <w:rsid w:val="009133B2"/>
    <w:rsid w:val="009938D4"/>
    <w:rsid w:val="0099665E"/>
    <w:rsid w:val="009B740D"/>
    <w:rsid w:val="00A00B36"/>
    <w:rsid w:val="00A01E0C"/>
    <w:rsid w:val="00A06D24"/>
    <w:rsid w:val="00A120D6"/>
    <w:rsid w:val="00A21AFF"/>
    <w:rsid w:val="00A91931"/>
    <w:rsid w:val="00AD1E7D"/>
    <w:rsid w:val="00AD5465"/>
    <w:rsid w:val="00B06B5B"/>
    <w:rsid w:val="00B662D1"/>
    <w:rsid w:val="00BA4CB4"/>
    <w:rsid w:val="00BB7B27"/>
    <w:rsid w:val="00BD457B"/>
    <w:rsid w:val="00BD6EBD"/>
    <w:rsid w:val="00BF57F8"/>
    <w:rsid w:val="00C23DEE"/>
    <w:rsid w:val="00C4489D"/>
    <w:rsid w:val="00C56A65"/>
    <w:rsid w:val="00C61D13"/>
    <w:rsid w:val="00CA4A77"/>
    <w:rsid w:val="00CD377D"/>
    <w:rsid w:val="00D05D0E"/>
    <w:rsid w:val="00D26006"/>
    <w:rsid w:val="00DB789E"/>
    <w:rsid w:val="00DE6896"/>
    <w:rsid w:val="00DE7A47"/>
    <w:rsid w:val="00E325D2"/>
    <w:rsid w:val="00E47310"/>
    <w:rsid w:val="00E47D79"/>
    <w:rsid w:val="00E962D4"/>
    <w:rsid w:val="00EA29BF"/>
    <w:rsid w:val="00EE5615"/>
    <w:rsid w:val="00EF0CD0"/>
    <w:rsid w:val="00EF6B34"/>
    <w:rsid w:val="00F20377"/>
    <w:rsid w:val="00F42C0B"/>
    <w:rsid w:val="00F83719"/>
    <w:rsid w:val="00FB6E96"/>
    <w:rsid w:val="00FE3F3E"/>
    <w:rsid w:val="00FF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3152C83-0C29-4BC6-A45B-38640433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9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9BB"/>
    <w:pPr>
      <w:ind w:left="720"/>
      <w:contextualSpacing/>
    </w:pPr>
  </w:style>
  <w:style w:type="paragraph" w:styleId="Header">
    <w:name w:val="header"/>
    <w:basedOn w:val="Normal"/>
    <w:link w:val="HeaderChar"/>
    <w:uiPriority w:val="99"/>
    <w:unhideWhenUsed/>
    <w:rsid w:val="00364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B27"/>
    <w:rPr>
      <w:rFonts w:ascii="Calibri" w:eastAsia="Calibri" w:hAnsi="Calibri" w:cs="Times New Roman"/>
    </w:rPr>
  </w:style>
  <w:style w:type="paragraph" w:styleId="Footer">
    <w:name w:val="footer"/>
    <w:basedOn w:val="Normal"/>
    <w:link w:val="FooterChar"/>
    <w:uiPriority w:val="99"/>
    <w:unhideWhenUsed/>
    <w:rsid w:val="00364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B27"/>
    <w:rPr>
      <w:rFonts w:ascii="Calibri" w:eastAsia="Calibri" w:hAnsi="Calibri" w:cs="Times New Roman"/>
    </w:rPr>
  </w:style>
  <w:style w:type="paragraph" w:styleId="BalloonText">
    <w:name w:val="Balloon Text"/>
    <w:basedOn w:val="Normal"/>
    <w:link w:val="BalloonTextChar"/>
    <w:uiPriority w:val="99"/>
    <w:semiHidden/>
    <w:unhideWhenUsed/>
    <w:rsid w:val="00364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B27"/>
    <w:rPr>
      <w:rFonts w:ascii="Tahoma" w:eastAsia="Calibri" w:hAnsi="Tahoma" w:cs="Tahoma"/>
      <w:sz w:val="16"/>
      <w:szCs w:val="16"/>
    </w:rPr>
  </w:style>
  <w:style w:type="character" w:styleId="CommentReference">
    <w:name w:val="annotation reference"/>
    <w:basedOn w:val="DefaultParagraphFont"/>
    <w:uiPriority w:val="99"/>
    <w:semiHidden/>
    <w:unhideWhenUsed/>
    <w:rsid w:val="00537D36"/>
    <w:rPr>
      <w:sz w:val="16"/>
      <w:szCs w:val="16"/>
    </w:rPr>
  </w:style>
  <w:style w:type="paragraph" w:styleId="CommentText">
    <w:name w:val="annotation text"/>
    <w:basedOn w:val="Normal"/>
    <w:link w:val="CommentTextChar"/>
    <w:uiPriority w:val="99"/>
    <w:semiHidden/>
    <w:unhideWhenUsed/>
    <w:rsid w:val="00537D36"/>
    <w:pPr>
      <w:spacing w:line="240" w:lineRule="auto"/>
    </w:pPr>
    <w:rPr>
      <w:sz w:val="20"/>
      <w:szCs w:val="20"/>
    </w:rPr>
  </w:style>
  <w:style w:type="character" w:customStyle="1" w:styleId="CommentTextChar">
    <w:name w:val="Comment Text Char"/>
    <w:basedOn w:val="DefaultParagraphFont"/>
    <w:link w:val="CommentText"/>
    <w:uiPriority w:val="99"/>
    <w:semiHidden/>
    <w:rsid w:val="00537D3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CompanyName</Company>
  <LinksUpToDate>false</LinksUpToDate>
  <CharactersWithSpaces>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OPM Intern10</dc:creator>
  <cp:lastModifiedBy>Riding, Meg</cp:lastModifiedBy>
  <cp:revision>2</cp:revision>
  <cp:lastPrinted>2013-11-27T15:50:00Z</cp:lastPrinted>
  <dcterms:created xsi:type="dcterms:W3CDTF">2014-03-27T14:44:00Z</dcterms:created>
  <dcterms:modified xsi:type="dcterms:W3CDTF">2014-03-27T14:44:00Z</dcterms:modified>
</cp:coreProperties>
</file>