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F37" w:rsidRPr="00B2013B" w:rsidRDefault="00E44F37" w:rsidP="00E44F37">
      <w:pPr>
        <w:pStyle w:val="NoSpacing"/>
        <w:jc w:val="center"/>
        <w:rPr>
          <w:rFonts w:ascii="Century Gothic" w:hAnsi="Century Gothic"/>
          <w:b/>
          <w:sz w:val="28"/>
          <w:szCs w:val="28"/>
        </w:rPr>
      </w:pPr>
      <w:bookmarkStart w:id="0" w:name="_GoBack"/>
      <w:bookmarkEnd w:id="0"/>
      <w:r w:rsidRPr="00B2013B">
        <w:rPr>
          <w:rFonts w:ascii="Century Gothic" w:hAnsi="Century Gothic"/>
          <w:b/>
          <w:sz w:val="28"/>
          <w:szCs w:val="28"/>
        </w:rPr>
        <w:t>Governor’s Health and Human Services Cabinet</w:t>
      </w:r>
    </w:p>
    <w:p w:rsidR="00E44F37" w:rsidRDefault="00E44F37" w:rsidP="00E44F37">
      <w:pPr>
        <w:pStyle w:val="NoSpacing"/>
        <w:jc w:val="center"/>
        <w:rPr>
          <w:rFonts w:ascii="Century Gothic" w:hAnsi="Century Gothic"/>
          <w:b/>
          <w:sz w:val="28"/>
          <w:szCs w:val="28"/>
        </w:rPr>
      </w:pPr>
      <w:r w:rsidRPr="00B2013B">
        <w:rPr>
          <w:rFonts w:ascii="Century Gothic" w:hAnsi="Century Gothic"/>
          <w:b/>
          <w:sz w:val="28"/>
          <w:szCs w:val="28"/>
        </w:rPr>
        <w:t>Cross Agency Population Results Statements Subcommittee</w:t>
      </w:r>
    </w:p>
    <w:p w:rsidR="00E44F37" w:rsidRPr="00E44F37" w:rsidRDefault="00E44F37" w:rsidP="00E44F37">
      <w:pPr>
        <w:pStyle w:val="NoSpacing"/>
        <w:rPr>
          <w:rFonts w:ascii="Century Gothic" w:hAnsi="Century Gothic"/>
        </w:rPr>
      </w:pPr>
    </w:p>
    <w:p w:rsidR="00E44F37" w:rsidRPr="00B2013B" w:rsidRDefault="00E44F37" w:rsidP="00B2013B">
      <w:pPr>
        <w:pStyle w:val="NoSpacing"/>
        <w:jc w:val="center"/>
        <w:rPr>
          <w:rFonts w:ascii="Century Gothic" w:hAnsi="Century Gothic"/>
          <w:sz w:val="26"/>
          <w:szCs w:val="26"/>
          <w:bdr w:val="single" w:sz="4" w:space="0" w:color="auto"/>
        </w:rPr>
      </w:pPr>
      <w:r w:rsidRPr="00B2013B">
        <w:rPr>
          <w:rFonts w:ascii="Century Gothic" w:hAnsi="Century Gothic"/>
          <w:b/>
          <w:sz w:val="26"/>
          <w:szCs w:val="26"/>
          <w:bdr w:val="single" w:sz="4" w:space="0" w:color="auto"/>
        </w:rPr>
        <w:t>Domain</w:t>
      </w:r>
      <w:r w:rsidRPr="00B2013B">
        <w:rPr>
          <w:rFonts w:ascii="Century Gothic" w:hAnsi="Century Gothic"/>
          <w:sz w:val="26"/>
          <w:szCs w:val="26"/>
          <w:bdr w:val="single" w:sz="4" w:space="0" w:color="auto"/>
        </w:rPr>
        <w:t xml:space="preserve">: </w:t>
      </w:r>
      <w:r w:rsidR="00B2013B" w:rsidRPr="00B2013B">
        <w:rPr>
          <w:rFonts w:ascii="Century Gothic" w:hAnsi="Century Gothic"/>
          <w:sz w:val="26"/>
          <w:szCs w:val="26"/>
          <w:bdr w:val="single" w:sz="4" w:space="0" w:color="auto"/>
        </w:rPr>
        <w:t>Success in School</w:t>
      </w:r>
    </w:p>
    <w:p w:rsidR="00E44F37" w:rsidRPr="00E44F37" w:rsidRDefault="00E44F37" w:rsidP="00E44F37">
      <w:pPr>
        <w:pStyle w:val="NoSpacing"/>
        <w:rPr>
          <w:rFonts w:ascii="Century Gothic" w:hAnsi="Century Gothic"/>
        </w:rPr>
      </w:pPr>
    </w:p>
    <w:p w:rsidR="00E44F37" w:rsidRPr="00E44F37" w:rsidRDefault="00E44F37" w:rsidP="00E44F37">
      <w:pPr>
        <w:pStyle w:val="NoSpacing"/>
        <w:pBdr>
          <w:top w:val="single" w:sz="4" w:space="1" w:color="auto"/>
          <w:left w:val="single" w:sz="4" w:space="4" w:color="auto"/>
          <w:bottom w:val="single" w:sz="4" w:space="1" w:color="auto"/>
          <w:right w:val="single" w:sz="4" w:space="4" w:color="auto"/>
        </w:pBdr>
        <w:rPr>
          <w:rFonts w:ascii="Century Gothic" w:hAnsi="Century Gothic"/>
        </w:rPr>
      </w:pPr>
      <w:r w:rsidRPr="00E44F37">
        <w:rPr>
          <w:rFonts w:ascii="Century Gothic" w:hAnsi="Century Gothic"/>
          <w:b/>
        </w:rPr>
        <w:t>Draft Results Statement</w:t>
      </w:r>
      <w:r w:rsidRPr="00E44F37">
        <w:rPr>
          <w:rFonts w:ascii="Century Gothic" w:hAnsi="Century Gothic"/>
        </w:rPr>
        <w:t>: All Connecticut learners succeed in school and are college and/or career ready.</w:t>
      </w:r>
    </w:p>
    <w:p w:rsidR="00E44F37" w:rsidRPr="00E44F37" w:rsidRDefault="00E44F37" w:rsidP="00E44F37">
      <w:pPr>
        <w:pStyle w:val="NoSpacing"/>
        <w:rPr>
          <w:rFonts w:ascii="Century Gothic" w:hAnsi="Century Gothic"/>
        </w:rPr>
      </w:pPr>
    </w:p>
    <w:p w:rsidR="00E44F37" w:rsidRDefault="00E44F37" w:rsidP="00E44F37">
      <w:pPr>
        <w:pStyle w:val="NoSpacing"/>
        <w:pBdr>
          <w:top w:val="single" w:sz="4" w:space="1" w:color="auto"/>
          <w:left w:val="single" w:sz="4" w:space="4" w:color="auto"/>
          <w:bottom w:val="single" w:sz="4" w:space="1" w:color="auto"/>
          <w:right w:val="single" w:sz="4" w:space="4" w:color="auto"/>
        </w:pBdr>
        <w:rPr>
          <w:rFonts w:ascii="Century Gothic" w:hAnsi="Century Gothic"/>
        </w:rPr>
      </w:pPr>
      <w:r w:rsidRPr="00E44F37">
        <w:rPr>
          <w:rFonts w:ascii="Century Gothic" w:hAnsi="Century Gothic"/>
          <w:b/>
        </w:rPr>
        <w:t>Revised/Suggested Results Statement</w:t>
      </w:r>
      <w:r w:rsidRPr="00E44F37">
        <w:rPr>
          <w:rFonts w:ascii="Century Gothic" w:hAnsi="Century Gothic"/>
        </w:rPr>
        <w:t>:</w:t>
      </w:r>
      <w:r w:rsidR="002864E5">
        <w:rPr>
          <w:rFonts w:ascii="Century Gothic" w:hAnsi="Century Gothic"/>
        </w:rPr>
        <w:t xml:space="preserve"> All Connecticut learners succeed in school and are prepared for success in college, careers</w:t>
      </w:r>
      <w:r w:rsidR="00741B87">
        <w:rPr>
          <w:rFonts w:ascii="Century Gothic" w:hAnsi="Century Gothic"/>
        </w:rPr>
        <w:t>, citizenship</w:t>
      </w:r>
      <w:r w:rsidR="002864E5">
        <w:rPr>
          <w:rFonts w:ascii="Century Gothic" w:hAnsi="Century Gothic"/>
        </w:rPr>
        <w:t xml:space="preserve"> and life.</w:t>
      </w:r>
    </w:p>
    <w:p w:rsidR="00B2013B" w:rsidRPr="00E44F37" w:rsidRDefault="00B2013B" w:rsidP="00E44F37">
      <w:pPr>
        <w:pStyle w:val="NoSpacing"/>
        <w:pBdr>
          <w:top w:val="single" w:sz="4" w:space="1" w:color="auto"/>
          <w:left w:val="single" w:sz="4" w:space="4" w:color="auto"/>
          <w:bottom w:val="single" w:sz="4" w:space="1" w:color="auto"/>
          <w:right w:val="single" w:sz="4" w:space="4" w:color="auto"/>
        </w:pBdr>
        <w:rPr>
          <w:rFonts w:ascii="Century Gothic" w:hAnsi="Century Gothic"/>
        </w:rPr>
      </w:pPr>
    </w:p>
    <w:p w:rsidR="00E44F37" w:rsidRPr="00E44F37" w:rsidRDefault="00E44F37" w:rsidP="00E44F37">
      <w:pPr>
        <w:pStyle w:val="NoSpacing"/>
        <w:pBdr>
          <w:top w:val="single" w:sz="4" w:space="1" w:color="auto"/>
          <w:left w:val="single" w:sz="4" w:space="4" w:color="auto"/>
          <w:bottom w:val="single" w:sz="4" w:space="1" w:color="auto"/>
          <w:right w:val="single" w:sz="4" w:space="4" w:color="auto"/>
        </w:pBdr>
        <w:rPr>
          <w:rFonts w:ascii="Century Gothic" w:hAnsi="Century Gothic"/>
        </w:rPr>
      </w:pPr>
    </w:p>
    <w:p w:rsidR="00E44F37" w:rsidRPr="00E44F37" w:rsidRDefault="00E44F37" w:rsidP="00E44F37">
      <w:pPr>
        <w:pStyle w:val="NoSpacing"/>
        <w:pBdr>
          <w:top w:val="single" w:sz="4" w:space="1" w:color="auto"/>
          <w:left w:val="single" w:sz="4" w:space="4" w:color="auto"/>
          <w:bottom w:val="single" w:sz="4" w:space="1" w:color="auto"/>
          <w:right w:val="single" w:sz="4" w:space="4" w:color="auto"/>
        </w:pBdr>
        <w:rPr>
          <w:rFonts w:ascii="Century Gothic" w:hAnsi="Century Gothic"/>
        </w:rPr>
      </w:pPr>
    </w:p>
    <w:p w:rsidR="00E44F37" w:rsidRDefault="00E44F37" w:rsidP="00E44F37">
      <w:pPr>
        <w:pStyle w:val="NoSpacing"/>
        <w:rPr>
          <w:rFonts w:ascii="Century Gothic" w:hAnsi="Century Gothic"/>
        </w:rPr>
      </w:pPr>
    </w:p>
    <w:p w:rsidR="00B2013B" w:rsidRPr="00B2013B" w:rsidRDefault="00B2013B" w:rsidP="00E44F37">
      <w:pPr>
        <w:pStyle w:val="NoSpacing"/>
        <w:rPr>
          <w:rFonts w:ascii="Century Gothic" w:hAnsi="Century Gothic"/>
          <w:b/>
          <w:i/>
        </w:rPr>
      </w:pPr>
      <w:r w:rsidRPr="00B2013B">
        <w:rPr>
          <w:rFonts w:ascii="Century Gothic" w:hAnsi="Century Gothic"/>
          <w:b/>
          <w:i/>
        </w:rPr>
        <w:t>What is an Indicator?</w:t>
      </w:r>
    </w:p>
    <w:p w:rsidR="00B2013B" w:rsidRPr="00D83014" w:rsidRDefault="00B2013B" w:rsidP="00E44F37">
      <w:pPr>
        <w:pStyle w:val="NoSpacing"/>
        <w:rPr>
          <w:rFonts w:ascii="Century Gothic" w:hAnsi="Century Gothic"/>
          <w:sz w:val="20"/>
          <w:szCs w:val="20"/>
        </w:rPr>
      </w:pPr>
      <w:r w:rsidRPr="00D83014">
        <w:rPr>
          <w:rFonts w:ascii="Century Gothic" w:hAnsi="Century Gothic"/>
          <w:sz w:val="20"/>
          <w:szCs w:val="20"/>
        </w:rPr>
        <w:t>Indicators are measures that help quantify the achievement of a population result. They answer the question "How would we recognize these results in measurable terms if we fell over them?" So, for example, the rate of low-birth weight babies helps quantify whether we're getting healthy births or not. Third grade reading scores help quantify whether children are succeeding in school today and whether they were ready for school three years ago. The crime rate helps quantify whether we are living in safe communities. Indicators refer only to whole populations, not programs.</w:t>
      </w:r>
    </w:p>
    <w:p w:rsidR="00B2013B" w:rsidRPr="00E44F37" w:rsidRDefault="00B2013B" w:rsidP="00E44F37">
      <w:pPr>
        <w:pStyle w:val="NoSpacing"/>
        <w:rPr>
          <w:rFonts w:ascii="Century Gothic" w:hAnsi="Century Gothic"/>
        </w:rPr>
      </w:pPr>
    </w:p>
    <w:p w:rsidR="00E44F37" w:rsidRPr="00B2013B" w:rsidRDefault="00E44F37" w:rsidP="00B2013B">
      <w:pPr>
        <w:pStyle w:val="NoSpacing"/>
        <w:rPr>
          <w:rFonts w:ascii="Century Gothic" w:hAnsi="Century Gothic"/>
          <w:b/>
          <w:bdr w:val="single" w:sz="4" w:space="0" w:color="auto"/>
        </w:rPr>
      </w:pPr>
      <w:r w:rsidRPr="00B2013B">
        <w:rPr>
          <w:rFonts w:ascii="Century Gothic" w:hAnsi="Century Gothic"/>
          <w:b/>
          <w:bdr w:val="single" w:sz="4" w:space="0" w:color="auto"/>
        </w:rPr>
        <w:t>Headline Indicators</w:t>
      </w:r>
    </w:p>
    <w:p w:rsidR="00E44F37" w:rsidRDefault="00E44F37" w:rsidP="00E44F37">
      <w:pPr>
        <w:pStyle w:val="NoSpacing"/>
        <w:rPr>
          <w:rFonts w:ascii="Century Gothic" w:hAnsi="Century Gothic"/>
        </w:rPr>
      </w:pPr>
    </w:p>
    <w:p w:rsidR="00D83014" w:rsidRDefault="002864E5" w:rsidP="002864E5">
      <w:pPr>
        <w:pStyle w:val="NoSpacing"/>
        <w:numPr>
          <w:ilvl w:val="0"/>
          <w:numId w:val="19"/>
        </w:numPr>
        <w:rPr>
          <w:rFonts w:ascii="Century Gothic" w:hAnsi="Century Gothic"/>
        </w:rPr>
      </w:pPr>
      <w:r>
        <w:rPr>
          <w:rFonts w:ascii="Century Gothic" w:hAnsi="Century Gothic"/>
        </w:rPr>
        <w:t>Percent ready for kindergarten (Source: SDE)</w:t>
      </w:r>
    </w:p>
    <w:p w:rsidR="00D83014" w:rsidRDefault="002864E5" w:rsidP="002864E5">
      <w:pPr>
        <w:pStyle w:val="NoSpacing"/>
        <w:numPr>
          <w:ilvl w:val="0"/>
          <w:numId w:val="19"/>
        </w:numPr>
        <w:rPr>
          <w:rFonts w:ascii="Century Gothic" w:hAnsi="Century Gothic"/>
        </w:rPr>
      </w:pPr>
      <w:r w:rsidRPr="002864E5">
        <w:rPr>
          <w:rFonts w:ascii="Century Gothic" w:hAnsi="Century Gothic"/>
        </w:rPr>
        <w:t>Percent of 3rd graders at or above Goal on CMT Reading and Math (Source: SDE)</w:t>
      </w:r>
    </w:p>
    <w:p w:rsidR="00D83014" w:rsidRDefault="002864E5" w:rsidP="002864E5">
      <w:pPr>
        <w:pStyle w:val="NoSpacing"/>
        <w:numPr>
          <w:ilvl w:val="0"/>
          <w:numId w:val="19"/>
        </w:numPr>
        <w:rPr>
          <w:rFonts w:ascii="Century Gothic" w:hAnsi="Century Gothic"/>
        </w:rPr>
      </w:pPr>
      <w:r w:rsidRPr="002864E5">
        <w:rPr>
          <w:rFonts w:ascii="Century Gothic" w:hAnsi="Century Gothic"/>
        </w:rPr>
        <w:t>Cohort Graduation Rate (Source: SDE)</w:t>
      </w:r>
    </w:p>
    <w:p w:rsidR="002864E5" w:rsidRDefault="002864E5" w:rsidP="002864E5">
      <w:pPr>
        <w:pStyle w:val="NoSpacing"/>
        <w:numPr>
          <w:ilvl w:val="0"/>
          <w:numId w:val="19"/>
        </w:numPr>
        <w:rPr>
          <w:rFonts w:ascii="Century Gothic" w:hAnsi="Century Gothic"/>
        </w:rPr>
      </w:pPr>
      <w:r w:rsidRPr="002864E5">
        <w:rPr>
          <w:rFonts w:ascii="Century Gothic" w:hAnsi="Century Gothic"/>
        </w:rPr>
        <w:t>Percent of 16-24 year olds employed, in school, or in the military (US Census Bureau)</w:t>
      </w:r>
    </w:p>
    <w:p w:rsidR="002864E5" w:rsidRDefault="002864E5" w:rsidP="002864E5">
      <w:pPr>
        <w:pStyle w:val="NoSpacing"/>
        <w:numPr>
          <w:ilvl w:val="0"/>
          <w:numId w:val="19"/>
        </w:numPr>
        <w:rPr>
          <w:rFonts w:ascii="Century Gothic" w:hAnsi="Century Gothic"/>
        </w:rPr>
      </w:pPr>
      <w:r w:rsidRPr="002864E5">
        <w:rPr>
          <w:rFonts w:ascii="Century Gothic" w:hAnsi="Century Gothic"/>
        </w:rPr>
        <w:t>Percent of population age 25-34 with a college degree (US Census Bureau)</w:t>
      </w:r>
    </w:p>
    <w:p w:rsidR="00D83014" w:rsidRPr="00E44F37" w:rsidRDefault="00D83014" w:rsidP="00E44F37">
      <w:pPr>
        <w:pStyle w:val="NoSpacing"/>
        <w:rPr>
          <w:rFonts w:ascii="Century Gothic" w:hAnsi="Century Gothic"/>
        </w:rPr>
      </w:pPr>
    </w:p>
    <w:p w:rsidR="00E44F37" w:rsidRPr="00B2013B" w:rsidRDefault="00E44F37" w:rsidP="00B2013B">
      <w:pPr>
        <w:pStyle w:val="NoSpacing"/>
        <w:rPr>
          <w:rFonts w:ascii="Century Gothic" w:hAnsi="Century Gothic"/>
          <w:b/>
          <w:bdr w:val="single" w:sz="4" w:space="0" w:color="auto"/>
        </w:rPr>
      </w:pPr>
      <w:r w:rsidRPr="00B2013B">
        <w:rPr>
          <w:rFonts w:ascii="Century Gothic" w:hAnsi="Century Gothic"/>
          <w:b/>
          <w:bdr w:val="single" w:sz="4" w:space="0" w:color="auto"/>
        </w:rPr>
        <w:t>Secondary Indicators</w:t>
      </w:r>
    </w:p>
    <w:p w:rsidR="00E44F37" w:rsidRDefault="00E44F37" w:rsidP="00E44F37">
      <w:pPr>
        <w:pStyle w:val="NoSpacing"/>
        <w:rPr>
          <w:rFonts w:ascii="Century Gothic" w:hAnsi="Century Gothic"/>
        </w:rPr>
      </w:pPr>
    </w:p>
    <w:p w:rsidR="00E44F37" w:rsidRDefault="002864E5" w:rsidP="00170EBF">
      <w:pPr>
        <w:pStyle w:val="NoSpacing"/>
        <w:numPr>
          <w:ilvl w:val="0"/>
          <w:numId w:val="20"/>
        </w:numPr>
        <w:rPr>
          <w:rFonts w:ascii="Century Gothic" w:hAnsi="Century Gothic"/>
        </w:rPr>
      </w:pPr>
      <w:r>
        <w:rPr>
          <w:rFonts w:ascii="Century Gothic" w:hAnsi="Century Gothic"/>
        </w:rPr>
        <w:t>College graduation rate (Source: Board of Regents?)</w:t>
      </w:r>
    </w:p>
    <w:p w:rsidR="00E44F37" w:rsidRDefault="002864E5" w:rsidP="00170EBF">
      <w:pPr>
        <w:pStyle w:val="NoSpacing"/>
        <w:numPr>
          <w:ilvl w:val="0"/>
          <w:numId w:val="20"/>
        </w:numPr>
        <w:rPr>
          <w:rFonts w:ascii="Century Gothic" w:hAnsi="Century Gothic"/>
        </w:rPr>
      </w:pPr>
      <w:r>
        <w:rPr>
          <w:rFonts w:ascii="Century Gothic" w:hAnsi="Century Gothic"/>
        </w:rPr>
        <w:t>Chronic absenteeism – Percent</w:t>
      </w:r>
      <w:r w:rsidRPr="002864E5">
        <w:rPr>
          <w:rFonts w:ascii="Century Gothic" w:hAnsi="Century Gothic"/>
        </w:rPr>
        <w:t xml:space="preserve"> of students with absences of 10% or greater when compared to the total number of d</w:t>
      </w:r>
      <w:r>
        <w:rPr>
          <w:rFonts w:ascii="Century Gothic" w:hAnsi="Century Gothic"/>
        </w:rPr>
        <w:t>ays enrolled in the school year (Source: SDE)</w:t>
      </w:r>
    </w:p>
    <w:p w:rsidR="00E44F37" w:rsidRDefault="002864E5" w:rsidP="00170EBF">
      <w:pPr>
        <w:pStyle w:val="NoSpacing"/>
        <w:numPr>
          <w:ilvl w:val="0"/>
          <w:numId w:val="20"/>
        </w:numPr>
        <w:rPr>
          <w:rFonts w:ascii="Century Gothic" w:hAnsi="Century Gothic"/>
        </w:rPr>
      </w:pPr>
      <w:r w:rsidRPr="002864E5">
        <w:rPr>
          <w:rFonts w:ascii="Century Gothic" w:hAnsi="Century Gothic"/>
        </w:rPr>
        <w:t>Percent of 8th graders at or above Goal on CMT Reading and Math (Source: SDE)</w:t>
      </w:r>
    </w:p>
    <w:p w:rsidR="002864E5" w:rsidRDefault="002864E5" w:rsidP="00170EBF">
      <w:pPr>
        <w:pStyle w:val="NoSpacing"/>
        <w:numPr>
          <w:ilvl w:val="0"/>
          <w:numId w:val="20"/>
        </w:numPr>
        <w:rPr>
          <w:rFonts w:ascii="Century Gothic" w:hAnsi="Century Gothic"/>
        </w:rPr>
      </w:pPr>
      <w:r>
        <w:rPr>
          <w:rFonts w:ascii="Century Gothic" w:hAnsi="Century Gothic"/>
        </w:rPr>
        <w:t>Percent of CT Technical High School graduates eligible for National or State Certification /Licensing Credential (Source: SDE)</w:t>
      </w:r>
    </w:p>
    <w:p w:rsidR="002864E5" w:rsidRDefault="00170EBF" w:rsidP="00170EBF">
      <w:pPr>
        <w:pStyle w:val="NoSpacing"/>
        <w:numPr>
          <w:ilvl w:val="0"/>
          <w:numId w:val="20"/>
        </w:numPr>
        <w:rPr>
          <w:rFonts w:ascii="Century Gothic" w:hAnsi="Century Gothic"/>
        </w:rPr>
      </w:pPr>
      <w:r>
        <w:rPr>
          <w:rFonts w:ascii="Century Gothic" w:hAnsi="Century Gothic"/>
        </w:rPr>
        <w:t>P</w:t>
      </w:r>
      <w:r w:rsidR="002864E5" w:rsidRPr="002864E5">
        <w:rPr>
          <w:rFonts w:ascii="Century Gothic" w:hAnsi="Century Gothic"/>
        </w:rPr>
        <w:t>ercent of Connecticut residents without a high school diploma who are enrolled in adult education programs.</w:t>
      </w:r>
      <w:r>
        <w:rPr>
          <w:rFonts w:ascii="Century Gothic" w:hAnsi="Century Gothic"/>
        </w:rPr>
        <w:t xml:space="preserve"> (Source: SDE and U.S. Census</w:t>
      </w:r>
      <w:r w:rsidR="00741B87">
        <w:rPr>
          <w:rFonts w:ascii="Century Gothic" w:hAnsi="Century Gothic"/>
        </w:rPr>
        <w:t xml:space="preserve"> Bureau</w:t>
      </w:r>
      <w:r>
        <w:rPr>
          <w:rFonts w:ascii="Century Gothic" w:hAnsi="Century Gothic"/>
        </w:rPr>
        <w:t>)</w:t>
      </w:r>
    </w:p>
    <w:p w:rsidR="00E44F37" w:rsidRDefault="00E44F37" w:rsidP="00E44F37">
      <w:pPr>
        <w:pStyle w:val="NoSpacing"/>
        <w:rPr>
          <w:rFonts w:ascii="Century Gothic" w:hAnsi="Century Gothic"/>
        </w:rPr>
      </w:pPr>
    </w:p>
    <w:p w:rsidR="00DE6B25" w:rsidRDefault="00D83014" w:rsidP="00E44F37">
      <w:pPr>
        <w:pStyle w:val="NoSpacing"/>
        <w:rPr>
          <w:rFonts w:ascii="Century Gothic" w:hAnsi="Century Gothic"/>
        </w:rPr>
      </w:pPr>
      <w:r w:rsidRPr="00D83014">
        <w:rPr>
          <w:rFonts w:ascii="Century Gothic" w:hAnsi="Century Gothic"/>
          <w:b/>
          <w:u w:val="single"/>
        </w:rPr>
        <w:t>Data Development Agenda</w:t>
      </w:r>
      <w:r>
        <w:rPr>
          <w:rFonts w:ascii="Century Gothic" w:hAnsi="Century Gothic"/>
        </w:rPr>
        <w:t>:</w:t>
      </w:r>
    </w:p>
    <w:p w:rsidR="00170EBF" w:rsidRDefault="00170EBF" w:rsidP="00E44F37">
      <w:pPr>
        <w:pStyle w:val="NoSpacing"/>
        <w:rPr>
          <w:rFonts w:ascii="Century Gothic" w:hAnsi="Century Gothic"/>
        </w:rPr>
      </w:pPr>
    </w:p>
    <w:p w:rsidR="00D83014" w:rsidRDefault="00170EBF" w:rsidP="00170EBF">
      <w:pPr>
        <w:pStyle w:val="NoSpacing"/>
        <w:numPr>
          <w:ilvl w:val="0"/>
          <w:numId w:val="21"/>
        </w:numPr>
        <w:rPr>
          <w:rFonts w:ascii="Century Gothic" w:hAnsi="Century Gothic"/>
        </w:rPr>
      </w:pPr>
      <w:r w:rsidRPr="00170EBF">
        <w:rPr>
          <w:rFonts w:ascii="Century Gothic" w:hAnsi="Century Gothic"/>
        </w:rPr>
        <w:t>Percent with Vocational/Certificate/Professional Licensure program completion</w:t>
      </w:r>
      <w:r w:rsidR="0037342C">
        <w:rPr>
          <w:rFonts w:ascii="Century Gothic" w:hAnsi="Century Gothic"/>
        </w:rPr>
        <w:t xml:space="preserve"> (Source: ???)</w:t>
      </w:r>
    </w:p>
    <w:p w:rsidR="00170EBF" w:rsidRDefault="00170EBF" w:rsidP="00170EBF">
      <w:pPr>
        <w:pStyle w:val="NoSpacing"/>
        <w:numPr>
          <w:ilvl w:val="0"/>
          <w:numId w:val="21"/>
        </w:numPr>
        <w:rPr>
          <w:rFonts w:ascii="Century Gothic" w:hAnsi="Century Gothic"/>
        </w:rPr>
      </w:pPr>
      <w:r>
        <w:rPr>
          <w:rFonts w:ascii="Century Gothic" w:hAnsi="Century Gothic"/>
        </w:rPr>
        <w:t>Percent of kindergarteners with pre-K experience</w:t>
      </w:r>
      <w:r w:rsidR="0037342C">
        <w:rPr>
          <w:rFonts w:ascii="Century Gothic" w:hAnsi="Century Gothic"/>
        </w:rPr>
        <w:t xml:space="preserve"> (Source: SDE)</w:t>
      </w:r>
    </w:p>
    <w:p w:rsidR="00DD5E8B" w:rsidRPr="00741B87" w:rsidRDefault="00170EBF" w:rsidP="00741B87">
      <w:pPr>
        <w:pStyle w:val="NoSpacing"/>
        <w:numPr>
          <w:ilvl w:val="0"/>
          <w:numId w:val="21"/>
        </w:numPr>
        <w:rPr>
          <w:rFonts w:ascii="Century Gothic" w:hAnsi="Century Gothic"/>
        </w:rPr>
      </w:pPr>
      <w:r>
        <w:rPr>
          <w:rFonts w:ascii="Century Gothic" w:hAnsi="Century Gothic"/>
        </w:rPr>
        <w:t>Percent with summer reading loss</w:t>
      </w:r>
      <w:r w:rsidR="0037342C">
        <w:rPr>
          <w:rFonts w:ascii="Century Gothic" w:hAnsi="Century Gothic"/>
        </w:rPr>
        <w:t xml:space="preserve"> (Source: SDE)</w:t>
      </w:r>
    </w:p>
    <w:sectPr w:rsidR="00DD5E8B" w:rsidRPr="00741B87" w:rsidSect="00D83014">
      <w:headerReference w:type="even" r:id="rId8"/>
      <w:headerReference w:type="default" r:id="rId9"/>
      <w:footerReference w:type="default" r:id="rId10"/>
      <w:headerReference w:type="first" r:id="rId11"/>
      <w:pgSz w:w="12240" w:h="15840"/>
      <w:pgMar w:top="990" w:right="1080" w:bottom="1440" w:left="1080" w:header="720" w:footer="720" w:gutter="0"/>
      <w:pgBorders w:offsetFrom="page">
        <w:top w:val="single" w:sz="12" w:space="24" w:color="auto" w:shadow="1"/>
        <w:left w:val="single" w:sz="12" w:space="24" w:color="auto" w:shadow="1"/>
        <w:bottom w:val="single" w:sz="12" w:space="24" w:color="auto" w:shadow="1"/>
        <w:right w:val="single" w:sz="12" w:space="24" w:color="auto" w:shadow="1"/>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8CB" w:rsidRDefault="001968CB" w:rsidP="009A15D8">
      <w:pPr>
        <w:spacing w:after="0" w:line="240" w:lineRule="auto"/>
      </w:pPr>
      <w:r>
        <w:separator/>
      </w:r>
    </w:p>
  </w:endnote>
  <w:endnote w:type="continuationSeparator" w:id="0">
    <w:p w:rsidR="001968CB" w:rsidRDefault="001968CB" w:rsidP="009A15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5D8" w:rsidRPr="009A15D8" w:rsidRDefault="00D83014">
    <w:pPr>
      <w:pStyle w:val="Footer"/>
      <w:rPr>
        <w:rFonts w:ascii="Century Gothic" w:hAnsi="Century Gothic"/>
        <w:sz w:val="16"/>
        <w:szCs w:val="16"/>
      </w:rPr>
    </w:pPr>
    <w:r>
      <w:rPr>
        <w:rFonts w:ascii="Century Gothic" w:hAnsi="Century Gothic"/>
        <w:sz w:val="16"/>
        <w:szCs w:val="16"/>
      </w:rPr>
      <w:t>Small</w:t>
    </w:r>
    <w:r w:rsidR="009A15D8" w:rsidRPr="009A15D8">
      <w:rPr>
        <w:rFonts w:ascii="Century Gothic" w:hAnsi="Century Gothic"/>
        <w:sz w:val="16"/>
        <w:szCs w:val="16"/>
      </w:rPr>
      <w:t xml:space="preserve"> Group Worksheet</w:t>
    </w:r>
  </w:p>
  <w:p w:rsidR="009A15D8" w:rsidRDefault="009A15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8CB" w:rsidRDefault="001968CB" w:rsidP="009A15D8">
      <w:pPr>
        <w:spacing w:after="0" w:line="240" w:lineRule="auto"/>
      </w:pPr>
      <w:r>
        <w:separator/>
      </w:r>
    </w:p>
  </w:footnote>
  <w:footnote w:type="continuationSeparator" w:id="0">
    <w:p w:rsidR="001968CB" w:rsidRDefault="001968CB" w:rsidP="009A15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AFD" w:rsidRDefault="00A973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530395" o:spid="_x0000_s2050" type="#_x0000_t136" style="position:absolute;margin-left:0;margin-top:0;width:444.15pt;height:266.45pt;rotation:315;z-index:-251655168;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AFD" w:rsidRDefault="00A973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530396" o:spid="_x0000_s2051" type="#_x0000_t136" style="position:absolute;margin-left:0;margin-top:0;width:444.15pt;height:266.45pt;rotation:315;z-index:-251653120;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AFD" w:rsidRDefault="00A973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530394" o:spid="_x0000_s2049" type="#_x0000_t136" style="position:absolute;margin-left:0;margin-top:0;width:444.15pt;height:266.45pt;rotation:315;z-index:-251657216;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478E1"/>
    <w:multiLevelType w:val="hybridMultilevel"/>
    <w:tmpl w:val="8AF0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56519F"/>
    <w:multiLevelType w:val="hybridMultilevel"/>
    <w:tmpl w:val="1C58A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7471E"/>
    <w:multiLevelType w:val="hybridMultilevel"/>
    <w:tmpl w:val="18641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CD236A"/>
    <w:multiLevelType w:val="hybridMultilevel"/>
    <w:tmpl w:val="C4884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A87C1E"/>
    <w:multiLevelType w:val="hybridMultilevel"/>
    <w:tmpl w:val="520E4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F45BF4"/>
    <w:multiLevelType w:val="hybridMultilevel"/>
    <w:tmpl w:val="0366B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A947DB"/>
    <w:multiLevelType w:val="hybridMultilevel"/>
    <w:tmpl w:val="B3E60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91768C"/>
    <w:multiLevelType w:val="hybridMultilevel"/>
    <w:tmpl w:val="4692E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881345"/>
    <w:multiLevelType w:val="hybridMultilevel"/>
    <w:tmpl w:val="EA8A5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BF3B58"/>
    <w:multiLevelType w:val="hybridMultilevel"/>
    <w:tmpl w:val="BE068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DE18CF"/>
    <w:multiLevelType w:val="hybridMultilevel"/>
    <w:tmpl w:val="46468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7C753A"/>
    <w:multiLevelType w:val="hybridMultilevel"/>
    <w:tmpl w:val="7AC2D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734DC2"/>
    <w:multiLevelType w:val="hybridMultilevel"/>
    <w:tmpl w:val="EEA6E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B739BF"/>
    <w:multiLevelType w:val="hybridMultilevel"/>
    <w:tmpl w:val="CE1A3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4056A4"/>
    <w:multiLevelType w:val="hybridMultilevel"/>
    <w:tmpl w:val="8BC0E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04074C"/>
    <w:multiLevelType w:val="hybridMultilevel"/>
    <w:tmpl w:val="8850F7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13B5D06"/>
    <w:multiLevelType w:val="hybridMultilevel"/>
    <w:tmpl w:val="1116B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CB46D3"/>
    <w:multiLevelType w:val="hybridMultilevel"/>
    <w:tmpl w:val="DDEAEC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7AA044C"/>
    <w:multiLevelType w:val="hybridMultilevel"/>
    <w:tmpl w:val="17EC3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2709C0"/>
    <w:multiLevelType w:val="hybridMultilevel"/>
    <w:tmpl w:val="17E06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192B4A"/>
    <w:multiLevelType w:val="hybridMultilevel"/>
    <w:tmpl w:val="AEA46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7"/>
  </w:num>
  <w:num w:numId="3">
    <w:abstractNumId w:val="18"/>
  </w:num>
  <w:num w:numId="4">
    <w:abstractNumId w:val="5"/>
  </w:num>
  <w:num w:numId="5">
    <w:abstractNumId w:val="9"/>
  </w:num>
  <w:num w:numId="6">
    <w:abstractNumId w:val="12"/>
  </w:num>
  <w:num w:numId="7">
    <w:abstractNumId w:val="0"/>
  </w:num>
  <w:num w:numId="8">
    <w:abstractNumId w:val="7"/>
  </w:num>
  <w:num w:numId="9">
    <w:abstractNumId w:val="16"/>
  </w:num>
  <w:num w:numId="10">
    <w:abstractNumId w:val="11"/>
  </w:num>
  <w:num w:numId="11">
    <w:abstractNumId w:val="13"/>
  </w:num>
  <w:num w:numId="12">
    <w:abstractNumId w:val="20"/>
  </w:num>
  <w:num w:numId="13">
    <w:abstractNumId w:val="4"/>
  </w:num>
  <w:num w:numId="14">
    <w:abstractNumId w:val="6"/>
  </w:num>
  <w:num w:numId="15">
    <w:abstractNumId w:val="19"/>
  </w:num>
  <w:num w:numId="16">
    <w:abstractNumId w:val="8"/>
  </w:num>
  <w:num w:numId="17">
    <w:abstractNumId w:val="15"/>
  </w:num>
  <w:num w:numId="18">
    <w:abstractNumId w:val="1"/>
  </w:num>
  <w:num w:numId="19">
    <w:abstractNumId w:val="10"/>
  </w:num>
  <w:num w:numId="20">
    <w:abstractNumId w:val="2"/>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E44F37"/>
    <w:rsid w:val="0010688C"/>
    <w:rsid w:val="00170EBF"/>
    <w:rsid w:val="001924CB"/>
    <w:rsid w:val="001968CB"/>
    <w:rsid w:val="002864E5"/>
    <w:rsid w:val="0037342C"/>
    <w:rsid w:val="00722A40"/>
    <w:rsid w:val="00741B87"/>
    <w:rsid w:val="00747113"/>
    <w:rsid w:val="007D3D49"/>
    <w:rsid w:val="008E5A77"/>
    <w:rsid w:val="009A15D8"/>
    <w:rsid w:val="00A9734D"/>
    <w:rsid w:val="00B2013B"/>
    <w:rsid w:val="00B5583D"/>
    <w:rsid w:val="00BD3AFD"/>
    <w:rsid w:val="00CC3830"/>
    <w:rsid w:val="00D66DF5"/>
    <w:rsid w:val="00D83014"/>
    <w:rsid w:val="00DD5E8B"/>
    <w:rsid w:val="00DE6B25"/>
    <w:rsid w:val="00E43AD6"/>
    <w:rsid w:val="00E44F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3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4F37"/>
    <w:pPr>
      <w:spacing w:after="0" w:line="240" w:lineRule="auto"/>
    </w:pPr>
  </w:style>
  <w:style w:type="paragraph" w:styleId="BalloonText">
    <w:name w:val="Balloon Text"/>
    <w:basedOn w:val="Normal"/>
    <w:link w:val="BalloonTextChar"/>
    <w:uiPriority w:val="99"/>
    <w:semiHidden/>
    <w:unhideWhenUsed/>
    <w:rsid w:val="00B20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13B"/>
    <w:rPr>
      <w:rFonts w:ascii="Tahoma" w:hAnsi="Tahoma" w:cs="Tahoma"/>
      <w:sz w:val="16"/>
      <w:szCs w:val="16"/>
    </w:rPr>
  </w:style>
  <w:style w:type="paragraph" w:styleId="ListParagraph">
    <w:name w:val="List Paragraph"/>
    <w:basedOn w:val="Normal"/>
    <w:uiPriority w:val="34"/>
    <w:qFormat/>
    <w:rsid w:val="00DE6B25"/>
    <w:pPr>
      <w:ind w:left="720"/>
      <w:contextualSpacing/>
    </w:pPr>
  </w:style>
  <w:style w:type="paragraph" w:styleId="Header">
    <w:name w:val="header"/>
    <w:basedOn w:val="Normal"/>
    <w:link w:val="HeaderChar"/>
    <w:uiPriority w:val="99"/>
    <w:unhideWhenUsed/>
    <w:rsid w:val="009A15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5D8"/>
  </w:style>
  <w:style w:type="paragraph" w:styleId="Footer">
    <w:name w:val="footer"/>
    <w:basedOn w:val="Normal"/>
    <w:link w:val="FooterChar"/>
    <w:uiPriority w:val="99"/>
    <w:unhideWhenUsed/>
    <w:rsid w:val="009A15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5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4F37"/>
    <w:pPr>
      <w:spacing w:after="0" w:line="240" w:lineRule="auto"/>
    </w:pPr>
  </w:style>
  <w:style w:type="paragraph" w:styleId="BalloonText">
    <w:name w:val="Balloon Text"/>
    <w:basedOn w:val="Normal"/>
    <w:link w:val="BalloonTextChar"/>
    <w:uiPriority w:val="99"/>
    <w:semiHidden/>
    <w:unhideWhenUsed/>
    <w:rsid w:val="00B20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13B"/>
    <w:rPr>
      <w:rFonts w:ascii="Tahoma" w:hAnsi="Tahoma" w:cs="Tahoma"/>
      <w:sz w:val="16"/>
      <w:szCs w:val="16"/>
    </w:rPr>
  </w:style>
  <w:style w:type="paragraph" w:styleId="ListParagraph">
    <w:name w:val="List Paragraph"/>
    <w:basedOn w:val="Normal"/>
    <w:uiPriority w:val="34"/>
    <w:qFormat/>
    <w:rsid w:val="00DE6B25"/>
    <w:pPr>
      <w:ind w:left="720"/>
      <w:contextualSpacing/>
    </w:pPr>
  </w:style>
  <w:style w:type="paragraph" w:styleId="Header">
    <w:name w:val="header"/>
    <w:basedOn w:val="Normal"/>
    <w:link w:val="HeaderChar"/>
    <w:uiPriority w:val="99"/>
    <w:unhideWhenUsed/>
    <w:rsid w:val="009A15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5D8"/>
  </w:style>
  <w:style w:type="paragraph" w:styleId="Footer">
    <w:name w:val="footer"/>
    <w:basedOn w:val="Normal"/>
    <w:link w:val="FooterChar"/>
    <w:uiPriority w:val="99"/>
    <w:unhideWhenUsed/>
    <w:rsid w:val="009A15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5D8"/>
  </w:style>
</w:styles>
</file>

<file path=word/webSettings.xml><?xml version="1.0" encoding="utf-8"?>
<w:webSettings xmlns:r="http://schemas.openxmlformats.org/officeDocument/2006/relationships" xmlns:w="http://schemas.openxmlformats.org/wordprocessingml/2006/main">
  <w:divs>
    <w:div w:id="436948186">
      <w:bodyDiv w:val="1"/>
      <w:marLeft w:val="0"/>
      <w:marRight w:val="0"/>
      <w:marTop w:val="0"/>
      <w:marBottom w:val="0"/>
      <w:divBdr>
        <w:top w:val="none" w:sz="0" w:space="0" w:color="auto"/>
        <w:left w:val="none" w:sz="0" w:space="0" w:color="auto"/>
        <w:bottom w:val="none" w:sz="0" w:space="0" w:color="auto"/>
        <w:right w:val="none" w:sz="0" w:space="0" w:color="auto"/>
      </w:divBdr>
    </w:div>
    <w:div w:id="512304769">
      <w:bodyDiv w:val="1"/>
      <w:marLeft w:val="0"/>
      <w:marRight w:val="0"/>
      <w:marTop w:val="0"/>
      <w:marBottom w:val="0"/>
      <w:divBdr>
        <w:top w:val="none" w:sz="0" w:space="0" w:color="auto"/>
        <w:left w:val="none" w:sz="0" w:space="0" w:color="auto"/>
        <w:bottom w:val="none" w:sz="0" w:space="0" w:color="auto"/>
        <w:right w:val="none" w:sz="0" w:space="0" w:color="auto"/>
      </w:divBdr>
    </w:div>
    <w:div w:id="868226372">
      <w:bodyDiv w:val="1"/>
      <w:marLeft w:val="0"/>
      <w:marRight w:val="0"/>
      <w:marTop w:val="0"/>
      <w:marBottom w:val="0"/>
      <w:divBdr>
        <w:top w:val="none" w:sz="0" w:space="0" w:color="auto"/>
        <w:left w:val="none" w:sz="0" w:space="0" w:color="auto"/>
        <w:bottom w:val="none" w:sz="0" w:space="0" w:color="auto"/>
        <w:right w:val="none" w:sz="0" w:space="0" w:color="auto"/>
      </w:divBdr>
    </w:div>
    <w:div w:id="1347753143">
      <w:bodyDiv w:val="1"/>
      <w:marLeft w:val="0"/>
      <w:marRight w:val="0"/>
      <w:marTop w:val="0"/>
      <w:marBottom w:val="0"/>
      <w:divBdr>
        <w:top w:val="none" w:sz="0" w:space="0" w:color="auto"/>
        <w:left w:val="none" w:sz="0" w:space="0" w:color="auto"/>
        <w:bottom w:val="none" w:sz="0" w:space="0" w:color="auto"/>
        <w:right w:val="none" w:sz="0" w:space="0" w:color="auto"/>
      </w:divBdr>
    </w:div>
    <w:div w:id="1389261079">
      <w:bodyDiv w:val="1"/>
      <w:marLeft w:val="0"/>
      <w:marRight w:val="0"/>
      <w:marTop w:val="0"/>
      <w:marBottom w:val="0"/>
      <w:divBdr>
        <w:top w:val="none" w:sz="0" w:space="0" w:color="auto"/>
        <w:left w:val="none" w:sz="0" w:space="0" w:color="auto"/>
        <w:bottom w:val="none" w:sz="0" w:space="0" w:color="auto"/>
        <w:right w:val="none" w:sz="0" w:space="0" w:color="auto"/>
      </w:divBdr>
    </w:div>
    <w:div w:id="1612471803">
      <w:bodyDiv w:val="1"/>
      <w:marLeft w:val="0"/>
      <w:marRight w:val="0"/>
      <w:marTop w:val="0"/>
      <w:marBottom w:val="0"/>
      <w:divBdr>
        <w:top w:val="none" w:sz="0" w:space="0" w:color="auto"/>
        <w:left w:val="none" w:sz="0" w:space="0" w:color="auto"/>
        <w:bottom w:val="none" w:sz="0" w:space="0" w:color="auto"/>
        <w:right w:val="none" w:sz="0" w:space="0" w:color="auto"/>
      </w:divBdr>
    </w:div>
    <w:div w:id="1715883346">
      <w:bodyDiv w:val="1"/>
      <w:marLeft w:val="0"/>
      <w:marRight w:val="0"/>
      <w:marTop w:val="0"/>
      <w:marBottom w:val="0"/>
      <w:divBdr>
        <w:top w:val="none" w:sz="0" w:space="0" w:color="auto"/>
        <w:left w:val="none" w:sz="0" w:space="0" w:color="auto"/>
        <w:bottom w:val="none" w:sz="0" w:space="0" w:color="auto"/>
        <w:right w:val="none" w:sz="0" w:space="0" w:color="auto"/>
      </w:divBdr>
    </w:div>
    <w:div w:id="1767186495">
      <w:bodyDiv w:val="1"/>
      <w:marLeft w:val="0"/>
      <w:marRight w:val="0"/>
      <w:marTop w:val="0"/>
      <w:marBottom w:val="0"/>
      <w:divBdr>
        <w:top w:val="none" w:sz="0" w:space="0" w:color="auto"/>
        <w:left w:val="none" w:sz="0" w:space="0" w:color="auto"/>
        <w:bottom w:val="none" w:sz="0" w:space="0" w:color="auto"/>
        <w:right w:val="none" w:sz="0" w:space="0" w:color="auto"/>
      </w:divBdr>
    </w:div>
    <w:div w:id="1801075051">
      <w:bodyDiv w:val="1"/>
      <w:marLeft w:val="0"/>
      <w:marRight w:val="0"/>
      <w:marTop w:val="0"/>
      <w:marBottom w:val="0"/>
      <w:divBdr>
        <w:top w:val="none" w:sz="0" w:space="0" w:color="auto"/>
        <w:left w:val="none" w:sz="0" w:space="0" w:color="auto"/>
        <w:bottom w:val="none" w:sz="0" w:space="0" w:color="auto"/>
        <w:right w:val="none" w:sz="0" w:space="0" w:color="auto"/>
      </w:divBdr>
    </w:div>
    <w:div w:id="1928297458">
      <w:bodyDiv w:val="1"/>
      <w:marLeft w:val="0"/>
      <w:marRight w:val="0"/>
      <w:marTop w:val="0"/>
      <w:marBottom w:val="0"/>
      <w:divBdr>
        <w:top w:val="none" w:sz="0" w:space="0" w:color="auto"/>
        <w:left w:val="none" w:sz="0" w:space="0" w:color="auto"/>
        <w:bottom w:val="none" w:sz="0" w:space="0" w:color="auto"/>
        <w:right w:val="none" w:sz="0" w:space="0" w:color="auto"/>
      </w:divBdr>
    </w:div>
    <w:div w:id="1976182921">
      <w:bodyDiv w:val="1"/>
      <w:marLeft w:val="0"/>
      <w:marRight w:val="0"/>
      <w:marTop w:val="0"/>
      <w:marBottom w:val="0"/>
      <w:divBdr>
        <w:top w:val="none" w:sz="0" w:space="0" w:color="auto"/>
        <w:left w:val="none" w:sz="0" w:space="0" w:color="auto"/>
        <w:bottom w:val="none" w:sz="0" w:space="0" w:color="auto"/>
        <w:right w:val="none" w:sz="0" w:space="0" w:color="auto"/>
      </w:divBdr>
    </w:div>
    <w:div w:id="201275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55B5-CA18-41B4-A1C6-77FAC21ED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CT Judicial Branch</Company>
  <LinksUpToDate>false</LinksUpToDate>
  <CharactersWithSpaces>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Brian</dc:creator>
  <cp:lastModifiedBy>Carol Polsky</cp:lastModifiedBy>
  <cp:revision>2</cp:revision>
  <cp:lastPrinted>2012-02-23T17:47:00Z</cp:lastPrinted>
  <dcterms:created xsi:type="dcterms:W3CDTF">2012-03-02T16:31:00Z</dcterms:created>
  <dcterms:modified xsi:type="dcterms:W3CDTF">2012-03-02T16:31:00Z</dcterms:modified>
</cp:coreProperties>
</file>